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A1650E">
      <w:pPr>
        <w:jc w:val="center"/>
        <w:rPr>
          <w:rFonts w:ascii="方正小标宋_GBK" w:hAnsi="方正小标宋_GBK" w:eastAsia="方正小标宋_GBK" w:cs="方正小标宋_GBK"/>
          <w:bCs/>
          <w:color w:val="auto"/>
          <w:sz w:val="72"/>
          <w:szCs w:val="72"/>
          <w:highlight w:val="none"/>
        </w:rPr>
      </w:pPr>
      <w:r>
        <w:rPr>
          <w:rFonts w:hint="eastAsia" w:ascii="方正小标宋_GBK" w:hAnsi="方正小标宋_GBK" w:eastAsia="方正小标宋_GBK" w:cs="方正小标宋_GBK"/>
          <w:bCs/>
          <w:color w:val="auto"/>
          <w:sz w:val="72"/>
          <w:szCs w:val="72"/>
          <w:highlight w:val="none"/>
        </w:rPr>
        <w:t>滨海县政府采购招标文件</w:t>
      </w:r>
    </w:p>
    <w:p w14:paraId="074E19A3">
      <w:pPr>
        <w:rPr>
          <w:rFonts w:eastAsia="黑体"/>
          <w:b/>
          <w:color w:val="auto"/>
          <w:sz w:val="32"/>
          <w:highlight w:val="none"/>
        </w:rPr>
      </w:pPr>
    </w:p>
    <w:p w14:paraId="709A079D">
      <w:pPr>
        <w:jc w:val="center"/>
        <w:rPr>
          <w:rFonts w:eastAsia="黑体"/>
          <w:b/>
          <w:color w:val="auto"/>
          <w:sz w:val="32"/>
          <w:highlight w:val="none"/>
        </w:rPr>
      </w:pPr>
    </w:p>
    <w:p w14:paraId="01E2ED7B">
      <w:pPr>
        <w:jc w:val="center"/>
        <w:rPr>
          <w:rFonts w:eastAsia="黑体"/>
          <w:b/>
          <w:color w:val="auto"/>
          <w:sz w:val="32"/>
          <w:highlight w:val="none"/>
        </w:rPr>
      </w:pPr>
    </w:p>
    <w:p w14:paraId="7DE02402">
      <w:pPr>
        <w:jc w:val="center"/>
        <w:rPr>
          <w:rFonts w:eastAsia="黑体"/>
          <w:b/>
          <w:color w:val="auto"/>
          <w:sz w:val="32"/>
          <w:highlight w:val="none"/>
        </w:rPr>
      </w:pPr>
    </w:p>
    <w:p w14:paraId="1379D14F">
      <w:pPr>
        <w:keepNext w:val="0"/>
        <w:keepLines w:val="0"/>
        <w:pageBreakBefore w:val="0"/>
        <w:widowControl w:val="0"/>
        <w:kinsoku/>
        <w:wordWrap/>
        <w:overflowPunct/>
        <w:topLinePunct w:val="0"/>
        <w:autoSpaceDE/>
        <w:autoSpaceDN/>
        <w:bidi w:val="0"/>
        <w:adjustRightInd/>
        <w:snapToGrid/>
        <w:ind w:firstLine="723" w:firstLineChars="200"/>
        <w:jc w:val="left"/>
        <w:textAlignment w:val="auto"/>
        <w:rPr>
          <w:rFonts w:eastAsia="黑体"/>
          <w:b/>
          <w:color w:val="auto"/>
          <w:sz w:val="32"/>
          <w:highlight w:val="none"/>
        </w:rPr>
      </w:pPr>
      <w:r>
        <w:rPr>
          <w:rFonts w:hint="eastAsia" w:ascii="宋体"/>
          <w:b/>
          <w:color w:val="auto"/>
          <w:sz w:val="36"/>
          <w:highlight w:val="none"/>
        </w:rPr>
        <w:t>项目编号：JSZC-320922-JSJS-G2026-0006</w:t>
      </w:r>
    </w:p>
    <w:p w14:paraId="634E8BB0">
      <w:pPr>
        <w:pStyle w:val="42"/>
        <w:ind w:firstLine="600"/>
        <w:rPr>
          <w:color w:val="auto"/>
          <w:highlight w:val="none"/>
        </w:rPr>
      </w:pPr>
    </w:p>
    <w:p w14:paraId="0F9D0635">
      <w:pPr>
        <w:ind w:firstLine="723" w:firstLineChars="200"/>
        <w:rPr>
          <w:rFonts w:hint="eastAsia" w:ascii="宋体" w:eastAsia="宋体"/>
          <w:b/>
          <w:color w:val="auto"/>
          <w:sz w:val="32"/>
          <w:szCs w:val="32"/>
          <w:highlight w:val="none"/>
          <w:lang w:eastAsia="zh-CN"/>
        </w:rPr>
      </w:pPr>
      <w:r>
        <w:rPr>
          <w:rFonts w:hint="eastAsia" w:ascii="宋体"/>
          <w:b/>
          <w:color w:val="auto"/>
          <w:sz w:val="36"/>
          <w:szCs w:val="36"/>
          <w:highlight w:val="none"/>
        </w:rPr>
        <w:t>项</w:t>
      </w:r>
      <w:r>
        <w:rPr>
          <w:rFonts w:hint="eastAsia" w:ascii="宋体" w:hAnsi="宋体" w:cs="宋体"/>
          <w:b/>
          <w:color w:val="auto"/>
          <w:sz w:val="36"/>
          <w:szCs w:val="36"/>
          <w:highlight w:val="none"/>
        </w:rPr>
        <w:t>目名称：</w:t>
      </w:r>
      <w:r>
        <w:rPr>
          <w:rFonts w:hint="eastAsia" w:ascii="宋体"/>
          <w:b/>
          <w:color w:val="auto"/>
          <w:sz w:val="32"/>
          <w:szCs w:val="32"/>
          <w:highlight w:val="none"/>
          <w:lang w:eastAsia="zh-CN"/>
        </w:rPr>
        <w:t>2026年-2029年通榆镇养老服务中心运营机构招标项目</w:t>
      </w:r>
    </w:p>
    <w:p w14:paraId="6892C177">
      <w:pPr>
        <w:rPr>
          <w:rFonts w:ascii="宋体"/>
          <w:b/>
          <w:color w:val="auto"/>
          <w:sz w:val="32"/>
          <w:highlight w:val="none"/>
        </w:rPr>
      </w:pPr>
    </w:p>
    <w:p w14:paraId="19AA9A3F">
      <w:pPr>
        <w:rPr>
          <w:rFonts w:ascii="宋体"/>
          <w:b/>
          <w:color w:val="auto"/>
          <w:sz w:val="32"/>
          <w:highlight w:val="none"/>
        </w:rPr>
      </w:pPr>
    </w:p>
    <w:p w14:paraId="7CAC34C1">
      <w:pPr>
        <w:rPr>
          <w:rFonts w:ascii="宋体"/>
          <w:b/>
          <w:color w:val="auto"/>
          <w:sz w:val="32"/>
          <w:highlight w:val="none"/>
        </w:rPr>
      </w:pPr>
    </w:p>
    <w:p w14:paraId="2979A0FC">
      <w:pPr>
        <w:rPr>
          <w:rFonts w:ascii="宋体"/>
          <w:b/>
          <w:color w:val="auto"/>
          <w:sz w:val="32"/>
          <w:highlight w:val="none"/>
        </w:rPr>
      </w:pPr>
    </w:p>
    <w:p w14:paraId="687852CF">
      <w:pPr>
        <w:jc w:val="center"/>
        <w:rPr>
          <w:rFonts w:hint="eastAsia" w:ascii="宋体"/>
          <w:b w:val="0"/>
          <w:bCs/>
          <w:color w:val="auto"/>
          <w:sz w:val="36"/>
          <w:szCs w:val="36"/>
          <w:highlight w:val="none"/>
        </w:rPr>
      </w:pPr>
    </w:p>
    <w:p w14:paraId="4DAFDF7F">
      <w:pPr>
        <w:jc w:val="center"/>
        <w:rPr>
          <w:rFonts w:hint="eastAsia" w:ascii="宋体"/>
          <w:b w:val="0"/>
          <w:bCs/>
          <w:color w:val="auto"/>
          <w:sz w:val="36"/>
          <w:szCs w:val="36"/>
          <w:highlight w:val="none"/>
        </w:rPr>
      </w:pPr>
    </w:p>
    <w:p w14:paraId="0A545CBE">
      <w:pPr>
        <w:jc w:val="center"/>
        <w:rPr>
          <w:rFonts w:hint="eastAsia" w:ascii="宋体"/>
          <w:b w:val="0"/>
          <w:bCs/>
          <w:color w:val="auto"/>
          <w:sz w:val="36"/>
          <w:szCs w:val="36"/>
          <w:highlight w:val="none"/>
        </w:rPr>
      </w:pPr>
      <w:r>
        <w:rPr>
          <w:rFonts w:hint="eastAsia" w:ascii="宋体"/>
          <w:b w:val="0"/>
          <w:bCs/>
          <w:color w:val="auto"/>
          <w:sz w:val="36"/>
          <w:szCs w:val="36"/>
          <w:highlight w:val="none"/>
        </w:rPr>
        <w:t>滨海县通榆镇人民政府</w:t>
      </w:r>
    </w:p>
    <w:p w14:paraId="2A4B29F5">
      <w:pPr>
        <w:jc w:val="center"/>
        <w:rPr>
          <w:rFonts w:ascii="宋体"/>
          <w:b w:val="0"/>
          <w:bCs/>
          <w:color w:val="auto"/>
          <w:sz w:val="32"/>
          <w:highlight w:val="none"/>
        </w:rPr>
      </w:pPr>
      <w:r>
        <w:rPr>
          <w:rFonts w:hint="eastAsia" w:ascii="宋体"/>
          <w:b w:val="0"/>
          <w:bCs/>
          <w:color w:val="auto"/>
          <w:sz w:val="36"/>
          <w:szCs w:val="36"/>
          <w:highlight w:val="none"/>
        </w:rPr>
        <w:t>江苏建世工程咨询有限公司</w:t>
      </w:r>
    </w:p>
    <w:p w14:paraId="07189162">
      <w:pPr>
        <w:jc w:val="center"/>
        <w:rPr>
          <w:color w:val="auto"/>
          <w:highlight w:val="none"/>
        </w:rPr>
      </w:pPr>
      <w:r>
        <w:rPr>
          <w:rFonts w:hint="eastAsia" w:ascii="宋体"/>
          <w:b/>
          <w:color w:val="auto"/>
          <w:sz w:val="36"/>
          <w:szCs w:val="36"/>
          <w:highlight w:val="none"/>
        </w:rPr>
        <w:t>202</w:t>
      </w:r>
      <w:r>
        <w:rPr>
          <w:rFonts w:hint="eastAsia" w:ascii="宋体"/>
          <w:b/>
          <w:color w:val="auto"/>
          <w:sz w:val="36"/>
          <w:szCs w:val="36"/>
          <w:highlight w:val="none"/>
          <w:lang w:val="en-US" w:eastAsia="zh-CN"/>
        </w:rPr>
        <w:t>6</w:t>
      </w:r>
      <w:r>
        <w:rPr>
          <w:rFonts w:hint="eastAsia" w:ascii="宋体"/>
          <w:b/>
          <w:color w:val="auto"/>
          <w:sz w:val="36"/>
          <w:szCs w:val="36"/>
          <w:highlight w:val="none"/>
        </w:rPr>
        <w:t>年</w:t>
      </w:r>
      <w:r>
        <w:rPr>
          <w:rFonts w:hint="eastAsia" w:ascii="宋体"/>
          <w:b/>
          <w:color w:val="auto"/>
          <w:sz w:val="36"/>
          <w:szCs w:val="36"/>
          <w:highlight w:val="none"/>
          <w:lang w:val="en-US" w:eastAsia="zh-CN"/>
        </w:rPr>
        <w:t>6</w:t>
      </w:r>
      <w:r>
        <w:rPr>
          <w:rFonts w:hint="eastAsia" w:ascii="宋体"/>
          <w:b/>
          <w:color w:val="auto"/>
          <w:sz w:val="36"/>
          <w:szCs w:val="36"/>
          <w:highlight w:val="none"/>
        </w:rPr>
        <w:t>月</w:t>
      </w:r>
      <w:bookmarkStart w:id="0" w:name="_Toc120614210"/>
      <w:bookmarkStart w:id="1" w:name="_Toc513029200"/>
      <w:bookmarkStart w:id="2" w:name="_Toc523127445"/>
      <w:bookmarkStart w:id="3" w:name="_Toc479757206"/>
      <w:bookmarkStart w:id="4" w:name="_Toc16938516"/>
      <w:bookmarkStart w:id="5" w:name="_Toc20823272"/>
    </w:p>
    <w:p w14:paraId="5392AAFE">
      <w:pPr>
        <w:spacing w:line="480" w:lineRule="auto"/>
        <w:jc w:val="center"/>
        <w:outlineLvl w:val="0"/>
        <w:rPr>
          <w:color w:val="auto"/>
          <w:highlight w:val="none"/>
        </w:rPr>
      </w:pPr>
    </w:p>
    <w:p w14:paraId="017D57FF">
      <w:pPr>
        <w:spacing w:line="480" w:lineRule="auto"/>
        <w:jc w:val="center"/>
        <w:outlineLvl w:val="0"/>
        <w:rPr>
          <w:color w:val="auto"/>
          <w:highlight w:val="none"/>
        </w:rPr>
      </w:pPr>
    </w:p>
    <w:p w14:paraId="14E123E5">
      <w:pPr>
        <w:spacing w:line="480" w:lineRule="auto"/>
        <w:jc w:val="center"/>
        <w:outlineLvl w:val="0"/>
        <w:rPr>
          <w:color w:val="auto"/>
          <w:highlight w:val="none"/>
        </w:rPr>
      </w:pPr>
    </w:p>
    <w:p w14:paraId="15E505D1">
      <w:pPr>
        <w:spacing w:line="480" w:lineRule="auto"/>
        <w:jc w:val="center"/>
        <w:outlineLvl w:val="0"/>
        <w:rPr>
          <w:color w:val="auto"/>
          <w:highlight w:val="none"/>
        </w:rPr>
      </w:pPr>
    </w:p>
    <w:p w14:paraId="2A31373C">
      <w:pPr>
        <w:jc w:val="center"/>
        <w:rPr>
          <w:rFonts w:ascii="黑体" w:hAnsi="Arial" w:eastAsia="黑体"/>
          <w:b/>
          <w:color w:val="auto"/>
          <w:sz w:val="44"/>
          <w:highlight w:val="none"/>
        </w:rPr>
      </w:pPr>
      <w:r>
        <w:rPr>
          <w:rFonts w:hint="eastAsia" w:ascii="黑体" w:hAnsi="Arial" w:eastAsia="黑体"/>
          <w:b/>
          <w:color w:val="auto"/>
          <w:sz w:val="44"/>
          <w:highlight w:val="none"/>
        </w:rPr>
        <w:t>总  目  录</w:t>
      </w:r>
    </w:p>
    <w:p w14:paraId="73E43EBB">
      <w:pPr>
        <w:spacing w:line="480" w:lineRule="auto"/>
        <w:rPr>
          <w:rFonts w:ascii="仿宋_GB2312" w:hAnsi="Arial" w:eastAsia="仿宋_GB2312"/>
          <w:b/>
          <w:color w:val="auto"/>
          <w:sz w:val="28"/>
          <w:highlight w:val="none"/>
        </w:rPr>
      </w:pPr>
    </w:p>
    <w:p w14:paraId="2334713C">
      <w:pPr>
        <w:numPr>
          <w:ilvl w:val="0"/>
          <w:numId w:val="1"/>
        </w:numPr>
        <w:spacing w:line="960" w:lineRule="auto"/>
        <w:outlineLvl w:val="0"/>
        <w:rPr>
          <w:rFonts w:ascii="黑体" w:hAnsi="Showcard Gothic" w:eastAsia="黑体"/>
          <w:color w:val="auto"/>
          <w:sz w:val="32"/>
          <w:highlight w:val="none"/>
        </w:rPr>
      </w:pPr>
      <w:r>
        <w:rPr>
          <w:rFonts w:hint="eastAsia" w:ascii="黑体" w:hAnsi="宋体" w:eastAsia="黑体"/>
          <w:color w:val="auto"/>
          <w:sz w:val="36"/>
          <w:highlight w:val="none"/>
        </w:rPr>
        <w:t>招标公告</w:t>
      </w:r>
    </w:p>
    <w:p w14:paraId="36EA65A5">
      <w:pPr>
        <w:numPr>
          <w:ilvl w:val="0"/>
          <w:numId w:val="1"/>
        </w:numPr>
        <w:spacing w:line="960" w:lineRule="auto"/>
        <w:outlineLvl w:val="0"/>
        <w:rPr>
          <w:rFonts w:ascii="黑体" w:hAnsi="Showcard Gothic" w:eastAsia="黑体"/>
          <w:color w:val="auto"/>
          <w:sz w:val="36"/>
          <w:highlight w:val="none"/>
        </w:rPr>
      </w:pPr>
      <w:r>
        <w:rPr>
          <w:rFonts w:hint="eastAsia" w:ascii="黑体" w:hAnsi="宋体" w:eastAsia="黑体"/>
          <w:bCs/>
          <w:color w:val="auto"/>
          <w:sz w:val="36"/>
          <w:szCs w:val="36"/>
          <w:highlight w:val="none"/>
          <w:lang w:val="en-US" w:eastAsia="zh-CN"/>
        </w:rPr>
        <w:t>投标人</w:t>
      </w:r>
      <w:r>
        <w:rPr>
          <w:rFonts w:hint="eastAsia" w:ascii="黑体" w:hAnsi="宋体" w:eastAsia="黑体"/>
          <w:bCs/>
          <w:color w:val="auto"/>
          <w:sz w:val="36"/>
          <w:szCs w:val="36"/>
          <w:highlight w:val="none"/>
        </w:rPr>
        <w:t>须知</w:t>
      </w:r>
    </w:p>
    <w:p w14:paraId="1D351BE5">
      <w:pPr>
        <w:numPr>
          <w:ilvl w:val="0"/>
          <w:numId w:val="1"/>
        </w:numPr>
        <w:spacing w:line="960" w:lineRule="auto"/>
        <w:outlineLvl w:val="0"/>
        <w:rPr>
          <w:rFonts w:ascii="黑体" w:hAnsi="Showcard Gothic" w:eastAsia="黑体"/>
          <w:color w:val="auto"/>
          <w:sz w:val="36"/>
          <w:highlight w:val="none"/>
        </w:rPr>
      </w:pPr>
      <w:r>
        <w:rPr>
          <w:rFonts w:hint="eastAsia" w:ascii="黑体" w:hAnsi="宋体" w:eastAsia="黑体"/>
          <w:color w:val="auto"/>
          <w:sz w:val="36"/>
          <w:highlight w:val="none"/>
        </w:rPr>
        <w:t>合同</w:t>
      </w:r>
      <w:r>
        <w:rPr>
          <w:rFonts w:hint="eastAsia" w:ascii="黑体" w:hAnsi="宋体" w:eastAsia="黑体"/>
          <w:color w:val="auto"/>
          <w:sz w:val="36"/>
          <w:highlight w:val="none"/>
          <w:lang w:val="en-US" w:eastAsia="zh-CN"/>
        </w:rPr>
        <w:t>文本</w:t>
      </w:r>
    </w:p>
    <w:p w14:paraId="076EBD3A">
      <w:pPr>
        <w:numPr>
          <w:ilvl w:val="0"/>
          <w:numId w:val="1"/>
        </w:numPr>
        <w:spacing w:line="960" w:lineRule="auto"/>
        <w:outlineLvl w:val="0"/>
        <w:rPr>
          <w:rFonts w:ascii="黑体" w:hAnsi="Showcard Gothic" w:eastAsia="黑体"/>
          <w:color w:val="auto"/>
          <w:sz w:val="36"/>
          <w:highlight w:val="none"/>
        </w:rPr>
      </w:pPr>
      <w:r>
        <w:rPr>
          <w:rFonts w:hint="eastAsia" w:ascii="黑体" w:hAnsi="宋体" w:eastAsia="黑体"/>
          <w:color w:val="auto"/>
          <w:sz w:val="36"/>
          <w:highlight w:val="none"/>
          <w:lang w:val="en-US" w:eastAsia="zh-CN"/>
        </w:rPr>
        <w:t>采购</w:t>
      </w:r>
      <w:r>
        <w:rPr>
          <w:rFonts w:hint="eastAsia" w:ascii="黑体" w:hAnsi="宋体" w:eastAsia="黑体"/>
          <w:color w:val="auto"/>
          <w:sz w:val="36"/>
          <w:highlight w:val="none"/>
        </w:rPr>
        <w:t>需求</w:t>
      </w:r>
    </w:p>
    <w:p w14:paraId="445DE0B6">
      <w:pPr>
        <w:numPr>
          <w:ilvl w:val="0"/>
          <w:numId w:val="1"/>
        </w:numPr>
        <w:spacing w:line="960" w:lineRule="auto"/>
        <w:outlineLvl w:val="0"/>
        <w:rPr>
          <w:rFonts w:ascii="黑体" w:hAnsi="Showcard Gothic" w:eastAsia="黑体"/>
          <w:color w:val="auto"/>
          <w:sz w:val="36"/>
          <w:highlight w:val="none"/>
        </w:rPr>
      </w:pPr>
      <w:r>
        <w:rPr>
          <w:rFonts w:hint="eastAsia" w:ascii="黑体" w:hAnsi="宋体" w:eastAsia="黑体"/>
          <w:bCs/>
          <w:color w:val="auto"/>
          <w:sz w:val="36"/>
          <w:szCs w:val="36"/>
          <w:highlight w:val="none"/>
        </w:rPr>
        <w:t>评标方法与评标标准</w:t>
      </w:r>
    </w:p>
    <w:p w14:paraId="2A453A8A">
      <w:pPr>
        <w:numPr>
          <w:ilvl w:val="0"/>
          <w:numId w:val="1"/>
        </w:numPr>
        <w:spacing w:line="960" w:lineRule="auto"/>
        <w:outlineLvl w:val="0"/>
        <w:rPr>
          <w:rFonts w:ascii="黑体" w:hAnsi="Showcard Gothic" w:eastAsia="黑体"/>
          <w:color w:val="auto"/>
          <w:sz w:val="36"/>
          <w:highlight w:val="none"/>
        </w:rPr>
      </w:pPr>
      <w:r>
        <w:rPr>
          <w:rFonts w:hint="eastAsia" w:ascii="黑体" w:hAnsi="宋体" w:eastAsia="黑体"/>
          <w:color w:val="auto"/>
          <w:sz w:val="36"/>
          <w:highlight w:val="none"/>
        </w:rPr>
        <w:t>投标文件格式</w:t>
      </w:r>
    </w:p>
    <w:p w14:paraId="3A619EDC">
      <w:pPr>
        <w:pStyle w:val="2"/>
        <w:rPr>
          <w:rFonts w:ascii="黑体" w:eastAsia="黑体"/>
          <w:bCs/>
          <w:color w:val="auto"/>
          <w:sz w:val="44"/>
          <w:highlight w:val="none"/>
        </w:rPr>
      </w:pPr>
    </w:p>
    <w:p w14:paraId="3A45059E">
      <w:pPr>
        <w:pStyle w:val="2"/>
        <w:rPr>
          <w:rFonts w:ascii="黑体" w:eastAsia="黑体"/>
          <w:bCs/>
          <w:color w:val="auto"/>
          <w:sz w:val="44"/>
          <w:highlight w:val="none"/>
        </w:rPr>
      </w:pPr>
    </w:p>
    <w:p w14:paraId="326EC087">
      <w:pPr>
        <w:rPr>
          <w:color w:val="auto"/>
          <w:highlight w:val="none"/>
        </w:rPr>
      </w:pPr>
    </w:p>
    <w:p w14:paraId="0761000B">
      <w:pPr>
        <w:pStyle w:val="42"/>
        <w:ind w:firstLine="600"/>
        <w:rPr>
          <w:color w:val="auto"/>
          <w:highlight w:val="none"/>
        </w:rPr>
      </w:pPr>
    </w:p>
    <w:p w14:paraId="2893CB93">
      <w:pPr>
        <w:pStyle w:val="42"/>
        <w:ind w:firstLine="600"/>
        <w:rPr>
          <w:color w:val="auto"/>
          <w:highlight w:val="none"/>
        </w:rPr>
      </w:pPr>
    </w:p>
    <w:p w14:paraId="76676427">
      <w:pPr>
        <w:pStyle w:val="42"/>
        <w:ind w:firstLine="600"/>
        <w:rPr>
          <w:color w:val="auto"/>
          <w:highlight w:val="none"/>
        </w:rPr>
      </w:pPr>
    </w:p>
    <w:p w14:paraId="3D548EF9">
      <w:pPr>
        <w:pStyle w:val="42"/>
        <w:ind w:firstLine="600"/>
        <w:rPr>
          <w:color w:val="auto"/>
          <w:highlight w:val="none"/>
        </w:rPr>
      </w:pPr>
    </w:p>
    <w:p w14:paraId="384F286F">
      <w:pPr>
        <w:pStyle w:val="42"/>
        <w:ind w:firstLine="600"/>
        <w:rPr>
          <w:color w:val="auto"/>
          <w:highlight w:val="none"/>
        </w:rPr>
      </w:pPr>
    </w:p>
    <w:p w14:paraId="09C59EA1">
      <w:pPr>
        <w:pStyle w:val="42"/>
        <w:ind w:firstLine="600"/>
        <w:rPr>
          <w:color w:val="auto"/>
          <w:highlight w:val="none"/>
        </w:rPr>
      </w:pPr>
    </w:p>
    <w:p w14:paraId="11FA70FF">
      <w:pPr>
        <w:pStyle w:val="2"/>
        <w:rPr>
          <w:rFonts w:ascii="宋体" w:hAnsi="宋体" w:eastAsia="宋体" w:cs="宋体"/>
          <w:color w:val="auto"/>
          <w:sz w:val="24"/>
          <w:szCs w:val="2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招标公告</w:t>
      </w:r>
    </w:p>
    <w:p w14:paraId="0C4537BD">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2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75C4DDBE">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420" w:lineRule="exact"/>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u w:val="single"/>
          <w:lang w:eastAsia="zh-CN"/>
        </w:rPr>
        <w:t>2026年-2029年通榆镇养老服务中心运营机构招标项目</w:t>
      </w:r>
      <w:r>
        <w:rPr>
          <w:rFonts w:hint="eastAsia" w:ascii="宋体" w:hAnsi="宋体" w:cs="宋体"/>
          <w:color w:val="auto"/>
          <w:sz w:val="24"/>
          <w:szCs w:val="24"/>
          <w:highlight w:val="none"/>
        </w:rPr>
        <w:t>的潜在投标人</w:t>
      </w:r>
      <w:r>
        <w:rPr>
          <w:rFonts w:hint="eastAsia" w:ascii="宋体" w:hAnsi="宋体" w:cs="宋体"/>
          <w:color w:val="auto"/>
          <w:sz w:val="24"/>
          <w:szCs w:val="24"/>
          <w:highlight w:val="none"/>
          <w:lang w:val="en-US" w:eastAsia="zh-CN"/>
        </w:rPr>
        <w:t>可</w:t>
      </w:r>
      <w:r>
        <w:rPr>
          <w:rFonts w:hint="eastAsia" w:ascii="宋体" w:hAnsi="宋体" w:eastAsia="宋体" w:cs="宋体"/>
          <w:color w:val="auto"/>
          <w:sz w:val="24"/>
          <w:szCs w:val="24"/>
          <w:highlight w:val="none"/>
        </w:rPr>
        <w:t>在“苏采云”系统内免费下载（投标人必须在苏采云系统中获取采购文件，方能参与政府采购项目），并于</w:t>
      </w:r>
      <w:r>
        <w:rPr>
          <w:rFonts w:hint="eastAsia" w:ascii="宋体" w:hAnsi="宋体" w:eastAsia="宋体" w:cs="宋体"/>
          <w:b/>
          <w:bCs/>
          <w:color w:val="auto"/>
          <w:sz w:val="24"/>
          <w:szCs w:val="24"/>
          <w:highlight w:val="none"/>
          <w:u w:val="single"/>
          <w:lang w:val="en-US" w:eastAsia="zh-CN"/>
        </w:rPr>
        <w:t>2026</w:t>
      </w:r>
      <w:r>
        <w:rPr>
          <w:rFonts w:hint="eastAsia" w:ascii="宋体" w:hAnsi="宋体" w:eastAsia="宋体" w:cs="宋体"/>
          <w:b/>
          <w:bCs/>
          <w:color w:val="auto"/>
          <w:sz w:val="24"/>
          <w:szCs w:val="24"/>
          <w:highlight w:val="none"/>
          <w:u w:val="single"/>
          <w:lang w:eastAsia="zh-CN"/>
        </w:rPr>
        <w:t>年</w:t>
      </w:r>
      <w:r>
        <w:rPr>
          <w:rFonts w:hint="eastAsia" w:ascii="宋体" w:hAnsi="宋体" w:cs="宋体"/>
          <w:b/>
          <w:bCs/>
          <w:color w:val="auto"/>
          <w:sz w:val="24"/>
          <w:szCs w:val="24"/>
          <w:highlight w:val="none"/>
          <w:u w:val="single"/>
          <w:lang w:val="en-US" w:eastAsia="zh-CN"/>
        </w:rPr>
        <w:t>7</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6</w:t>
      </w:r>
      <w:r>
        <w:rPr>
          <w:rFonts w:hint="eastAsia" w:ascii="宋体" w:hAnsi="宋体" w:eastAsia="宋体" w:cs="宋体"/>
          <w:b/>
          <w:bCs/>
          <w:color w:val="auto"/>
          <w:sz w:val="24"/>
          <w:szCs w:val="24"/>
          <w:highlight w:val="none"/>
          <w:u w:val="single"/>
        </w:rPr>
        <w:t>日</w:t>
      </w:r>
      <w:r>
        <w:rPr>
          <w:rFonts w:hint="eastAsia" w:ascii="宋体" w:hAnsi="宋体" w:cs="宋体"/>
          <w:b/>
          <w:bCs/>
          <w:color w:val="auto"/>
          <w:sz w:val="24"/>
          <w:szCs w:val="24"/>
          <w:highlight w:val="none"/>
          <w:u w:val="single"/>
          <w:lang w:val="en-US" w:eastAsia="zh-CN"/>
        </w:rPr>
        <w:t>9</w:t>
      </w:r>
      <w:r>
        <w:rPr>
          <w:rFonts w:hint="eastAsia" w:ascii="宋体" w:hAnsi="宋体" w:eastAsia="宋体" w:cs="宋体"/>
          <w:b/>
          <w:bCs/>
          <w:color w:val="auto"/>
          <w:sz w:val="24"/>
          <w:szCs w:val="24"/>
          <w:highlight w:val="none"/>
          <w:u w:val="single"/>
        </w:rPr>
        <w:t>时00分00秒</w:t>
      </w:r>
      <w:r>
        <w:rPr>
          <w:rFonts w:hint="eastAsia" w:ascii="宋体" w:hAnsi="宋体" w:eastAsia="宋体" w:cs="宋体"/>
          <w:color w:val="auto"/>
          <w:sz w:val="24"/>
          <w:szCs w:val="24"/>
          <w:highlight w:val="none"/>
        </w:rPr>
        <w:t>（北京时间）前递交投标文件。</w:t>
      </w:r>
    </w:p>
    <w:p w14:paraId="72409EC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宋体" w:hAnsi="宋体" w:cs="宋体"/>
          <w:color w:val="auto"/>
          <w:sz w:val="24"/>
          <w:szCs w:val="24"/>
          <w:highlight w:val="none"/>
        </w:rPr>
      </w:pPr>
    </w:p>
    <w:p w14:paraId="6B9AED96">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szCs w:val="24"/>
          <w:highlight w:val="none"/>
        </w:rPr>
      </w:pPr>
      <w:bookmarkStart w:id="6" w:name="_Toc35393790"/>
      <w:bookmarkStart w:id="7" w:name="_Toc28359079"/>
      <w:bookmarkStart w:id="8" w:name="_Toc35393621"/>
      <w:bookmarkStart w:id="9" w:name="_Toc28359002"/>
      <w:bookmarkStart w:id="10" w:name="_Hlk24379207"/>
      <w:r>
        <w:rPr>
          <w:rFonts w:hint="eastAsia" w:ascii="宋体" w:hAnsi="宋体" w:eastAsia="宋体" w:cs="宋体"/>
          <w:color w:val="auto"/>
          <w:sz w:val="24"/>
          <w:szCs w:val="24"/>
          <w:highlight w:val="none"/>
        </w:rPr>
        <w:t>一、项目基本情况</w:t>
      </w:r>
      <w:bookmarkEnd w:id="6"/>
      <w:bookmarkEnd w:id="7"/>
      <w:bookmarkEnd w:id="8"/>
      <w:bookmarkEnd w:id="9"/>
    </w:p>
    <w:p w14:paraId="435324D9">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1.项目编号：JSZC-320922-JSJS-G2026-0006</w:t>
      </w:r>
    </w:p>
    <w:p w14:paraId="1EA895E8">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u w:val="single"/>
          <w:lang w:eastAsia="zh-CN"/>
        </w:rPr>
        <w:t>2026年-2029年通榆镇养老服务中心运营机构招标项目</w:t>
      </w:r>
      <w:r>
        <w:rPr>
          <w:rFonts w:hint="eastAsia" w:ascii="宋体" w:hAnsi="宋体" w:eastAsia="宋体" w:cs="宋体"/>
          <w:color w:val="auto"/>
          <w:sz w:val="24"/>
          <w:szCs w:val="24"/>
          <w:highlight w:val="none"/>
        </w:rPr>
        <w:t xml:space="preserve"> ；             </w:t>
      </w:r>
    </w:p>
    <w:bookmarkEnd w:id="10"/>
    <w:p w14:paraId="651CF7FD">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w:t>
      </w:r>
      <w:r>
        <w:rPr>
          <w:rFonts w:hint="eastAsia" w:ascii="宋体" w:hAnsi="宋体" w:eastAsia="宋体" w:cs="宋体"/>
          <w:color w:val="auto"/>
          <w:sz w:val="24"/>
          <w:szCs w:val="24"/>
          <w:highlight w:val="none"/>
          <w:u w:val="single"/>
        </w:rPr>
        <w:t>人民币</w:t>
      </w:r>
      <w:r>
        <w:rPr>
          <w:rFonts w:hint="eastAsia" w:ascii="宋体" w:hAnsi="宋体" w:eastAsia="宋体" w:cs="宋体"/>
          <w:color w:val="auto"/>
          <w:sz w:val="24"/>
          <w:szCs w:val="24"/>
          <w:highlight w:val="none"/>
          <w:u w:val="single"/>
          <w:lang w:val="en-US" w:eastAsia="zh-CN"/>
        </w:rPr>
        <w:t>1058.4</w:t>
      </w:r>
      <w:r>
        <w:rPr>
          <w:rFonts w:hint="eastAsia" w:ascii="宋体" w:hAnsi="宋体" w:eastAsia="宋体" w:cs="宋体"/>
          <w:color w:val="auto"/>
          <w:sz w:val="24"/>
          <w:szCs w:val="24"/>
          <w:highlight w:val="none"/>
          <w:u w:val="single"/>
        </w:rPr>
        <w:t>万元，包括特困人员供养经费、县民政局发放的运行补贴、失能（失智）护理保险等各类运营经费；</w:t>
      </w:r>
    </w:p>
    <w:p w14:paraId="08C0117C">
      <w:pPr>
        <w:pStyle w:val="15"/>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4.最高限价：</w:t>
      </w:r>
      <w:r>
        <w:rPr>
          <w:rFonts w:hint="eastAsia" w:ascii="宋体" w:hAnsi="宋体" w:eastAsia="宋体" w:cs="宋体"/>
          <w:color w:val="auto"/>
          <w:sz w:val="24"/>
          <w:szCs w:val="24"/>
          <w:highlight w:val="none"/>
          <w:u w:val="single"/>
        </w:rPr>
        <w:t>人民币</w:t>
      </w:r>
      <w:r>
        <w:rPr>
          <w:rFonts w:hint="eastAsia" w:ascii="宋体" w:hAnsi="宋体" w:eastAsia="宋体" w:cs="宋体"/>
          <w:color w:val="auto"/>
          <w:sz w:val="24"/>
          <w:szCs w:val="24"/>
          <w:highlight w:val="none"/>
          <w:u w:val="single"/>
          <w:lang w:val="en-US" w:eastAsia="zh-CN"/>
        </w:rPr>
        <w:t>1058.4</w:t>
      </w:r>
      <w:r>
        <w:rPr>
          <w:rFonts w:hint="eastAsia" w:ascii="宋体" w:hAnsi="宋体" w:eastAsia="宋体" w:cs="宋体"/>
          <w:color w:val="auto"/>
          <w:sz w:val="24"/>
          <w:szCs w:val="24"/>
          <w:highlight w:val="none"/>
          <w:u w:val="single"/>
        </w:rPr>
        <w:t>万元。其中评定为自理、轻度失能特困人员入住综合单价最高限价2000元/人·月，评定为中度失能特困人员入住，综合单价最高限价2400元/人·月。评定为重度失能、完全失能特困人员入住，综合单价最高限价3000元/人·月。（投标人的投标总价和单价均不得超出最高限价，否则作无效标书处理。投标时均按照预估入住人数进行报价，结算时，按实际入住人数计算，单价执行中标的对应单价）；</w:t>
      </w:r>
    </w:p>
    <w:p w14:paraId="783CBA5B">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滨海县通榆养老服务中心位于滨海县通榆镇阜坎村，滨海县通榆养老服务中心占地15.08亩，建筑面积约12208平方米，床位约220张。滨海县通榆养老服务中心产权为滨海县乡村资产经营有限公司。该机构为全县失能（失智）特困人员定点照护机构，并承担五汛、蔡桥、正红、通榆4镇特困人员集中供养职能，同时也无条件接收全县有入住意愿的特困人员，在满足特困人员集中供养基础上，富余床位可收住社会人员。通过公开招标方式，招标第三方运营机构</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具体详细内容见本招标文件第四章。</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注：</w:t>
      </w:r>
      <w:r>
        <w:rPr>
          <w:rFonts w:hint="eastAsia" w:ascii="宋体" w:hAnsi="宋体" w:cs="宋体"/>
          <w:i w:val="0"/>
          <w:iCs w:val="0"/>
          <w:color w:val="auto"/>
          <w:sz w:val="24"/>
          <w:szCs w:val="24"/>
          <w:highlight w:val="none"/>
          <w:lang w:val="en-US" w:eastAsia="zh-CN"/>
        </w:rPr>
        <w:t>合同期内，敬老院所有设施设备的维修费用均由中标人自行承担。设施设备发生故障或损坏需要维修的，中标人须及时维修，确保设施设备正常运转，中标人未及时维修的，由此产生的一切后果及责任均由中标人自行承担。</w:t>
      </w:r>
      <w:r>
        <w:rPr>
          <w:rFonts w:hint="eastAsia" w:ascii="宋体" w:hAnsi="宋体" w:eastAsia="宋体" w:cs="宋体"/>
          <w:i w:val="0"/>
          <w:iCs w:val="0"/>
          <w:color w:val="auto"/>
          <w:sz w:val="24"/>
          <w:szCs w:val="24"/>
          <w:highlight w:val="none"/>
          <w:lang w:val="en-US" w:eastAsia="zh-CN"/>
        </w:rPr>
        <w:t xml:space="preserve">)   </w:t>
      </w:r>
    </w:p>
    <w:p w14:paraId="37D651FC">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6.合同履行期限：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年。</w:t>
      </w:r>
    </w:p>
    <w:p w14:paraId="3C1E07B9">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7.服务地点：滨海县通榆养老服务中心（采购人指定地点）。</w:t>
      </w:r>
    </w:p>
    <w:p w14:paraId="4CC47BC2">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8.本项目（是/否）属于专门面向中小企业采购的项目：</w:t>
      </w:r>
      <w:r>
        <w:rPr>
          <w:rFonts w:hint="eastAsia" w:ascii="宋体" w:hAnsi="宋体" w:eastAsia="宋体" w:cs="宋体"/>
          <w:color w:val="auto"/>
          <w:sz w:val="24"/>
          <w:szCs w:val="24"/>
          <w:highlight w:val="none"/>
          <w:u w:val="single"/>
        </w:rPr>
        <w:t>否</w:t>
      </w:r>
      <w:r>
        <w:rPr>
          <w:rFonts w:hint="eastAsia" w:ascii="宋体" w:hAnsi="宋体" w:eastAsia="宋体" w:cs="宋体"/>
          <w:color w:val="auto"/>
          <w:sz w:val="24"/>
          <w:szCs w:val="24"/>
          <w:highlight w:val="none"/>
        </w:rPr>
        <w:t>。</w:t>
      </w:r>
    </w:p>
    <w:p w14:paraId="41CBE1B9">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9.本项目（是/否）接受联合体投标： </w:t>
      </w:r>
      <w:r>
        <w:rPr>
          <w:rFonts w:hint="eastAsia" w:ascii="宋体" w:hAnsi="宋体" w:eastAsia="宋体" w:cs="宋体"/>
          <w:color w:val="auto"/>
          <w:sz w:val="24"/>
          <w:szCs w:val="24"/>
          <w:highlight w:val="none"/>
          <w:u w:val="single"/>
        </w:rPr>
        <w:t>否</w:t>
      </w:r>
      <w:r>
        <w:rPr>
          <w:rFonts w:hint="eastAsia" w:ascii="宋体" w:hAnsi="宋体" w:eastAsia="宋体" w:cs="宋体"/>
          <w:color w:val="auto"/>
          <w:sz w:val="24"/>
          <w:szCs w:val="24"/>
          <w:highlight w:val="none"/>
        </w:rPr>
        <w:t>。</w:t>
      </w:r>
    </w:p>
    <w:p w14:paraId="0089A97F">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szCs w:val="24"/>
          <w:highlight w:val="none"/>
        </w:rPr>
      </w:pPr>
      <w:bookmarkStart w:id="11" w:name="_Toc35393791"/>
      <w:bookmarkStart w:id="12" w:name="_Toc28359003"/>
      <w:bookmarkStart w:id="13" w:name="_Toc35393622"/>
      <w:bookmarkStart w:id="14" w:name="_Toc28359080"/>
      <w:r>
        <w:rPr>
          <w:rFonts w:hint="eastAsia" w:ascii="宋体" w:hAnsi="宋体" w:eastAsia="宋体" w:cs="宋体"/>
          <w:color w:val="auto"/>
          <w:sz w:val="24"/>
          <w:szCs w:val="24"/>
          <w:highlight w:val="none"/>
        </w:rPr>
        <w:t>二、申请人的资格要求：</w:t>
      </w:r>
      <w:bookmarkEnd w:id="11"/>
      <w:bookmarkEnd w:id="12"/>
      <w:bookmarkEnd w:id="13"/>
      <w:bookmarkEnd w:id="14"/>
    </w:p>
    <w:p w14:paraId="5063B3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13E28A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(1)法人或者其他组织的营业执照等证明文件，自然人的身份证明；</w:t>
      </w:r>
    </w:p>
    <w:p w14:paraId="230792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(2)上一年度的财务报表（至少提供资产负债表、利润表、现金流量表，供应商成立不满一年无需提供）；</w:t>
      </w:r>
    </w:p>
    <w:p w14:paraId="7FFDA0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4A905F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(4)具备履行合同所必需的设备和专业技术能力的书面声明；</w:t>
      </w:r>
    </w:p>
    <w:p w14:paraId="18318E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14:paraId="090122A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w:t>
      </w:r>
      <w:r>
        <w:rPr>
          <w:rFonts w:hint="eastAsia" w:ascii="宋体" w:hAnsi="宋体" w:eastAsia="宋体" w:cs="宋体"/>
          <w:color w:val="auto"/>
          <w:sz w:val="24"/>
          <w:szCs w:val="24"/>
          <w:highlight w:val="none"/>
          <w:lang w:val="en-US" w:eastAsia="zh-CN" w:bidi="ar-SA"/>
        </w:rPr>
        <w:t>法律、行政法规规定的其他条件。</w:t>
      </w:r>
    </w:p>
    <w:p w14:paraId="0693AEC0">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在“信用中国”网站查询，无被列入失信被执行人、重大税收违法案件当事人名单、政府采购严重失信行为记录名单及其他不符合《中华人民共和国政府采购法》第二十二条规定条件的信用记录。</w:t>
      </w:r>
    </w:p>
    <w:p w14:paraId="280A87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（8）单位负责人为同一人或者存在直接控股、管理关系的不同供应商，不得参加同一合同项下的政府采购活动。</w:t>
      </w:r>
    </w:p>
    <w:p w14:paraId="7C9BD4A5">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bookmarkStart w:id="15" w:name="_Toc28359004"/>
      <w:bookmarkStart w:id="16" w:name="_Toc28359081"/>
      <w:r>
        <w:rPr>
          <w:rFonts w:hint="eastAsia" w:ascii="宋体" w:hAnsi="宋体" w:eastAsia="宋体" w:cs="宋体"/>
          <w:color w:val="auto"/>
          <w:sz w:val="24"/>
          <w:szCs w:val="24"/>
          <w:highlight w:val="none"/>
        </w:rPr>
        <w:t>2.落实政府采购政策需满足的资格要求：</w:t>
      </w:r>
    </w:p>
    <w:p w14:paraId="2998E82E">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本项目（是/否）属于专门面向中小企业采购的项目：</w:t>
      </w:r>
      <w:r>
        <w:rPr>
          <w:rFonts w:hint="eastAsia" w:ascii="宋体" w:hAnsi="宋体" w:eastAsia="宋体" w:cs="宋体"/>
          <w:color w:val="auto"/>
          <w:sz w:val="24"/>
          <w:szCs w:val="24"/>
          <w:highlight w:val="none"/>
          <w:u w:val="single"/>
        </w:rPr>
        <w:t>否</w:t>
      </w:r>
      <w:r>
        <w:rPr>
          <w:rFonts w:hint="eastAsia" w:ascii="宋体" w:hAnsi="宋体" w:eastAsia="宋体" w:cs="宋体"/>
          <w:color w:val="auto"/>
          <w:sz w:val="24"/>
          <w:szCs w:val="24"/>
          <w:highlight w:val="none"/>
        </w:rPr>
        <w:t>。</w:t>
      </w:r>
    </w:p>
    <w:p w14:paraId="3F8AD08B">
      <w:pPr>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（注：如属于专门面向中小企业采购的项目,供应商应为中小微企业、监狱企业、残疾人福利性单位)</w:t>
      </w:r>
    </w:p>
    <w:p w14:paraId="7F4D43D4">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3.本项目的特定资格要求：</w:t>
      </w:r>
      <w:r>
        <w:rPr>
          <w:rFonts w:hint="eastAsia" w:ascii="宋体" w:hAnsi="宋体" w:cs="宋体"/>
          <w:color w:val="auto"/>
          <w:sz w:val="24"/>
          <w:szCs w:val="24"/>
          <w:highlight w:val="none"/>
          <w:lang w:val="en-US" w:eastAsia="zh-CN"/>
        </w:rPr>
        <w:t>无。</w:t>
      </w:r>
    </w:p>
    <w:p w14:paraId="08355896">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szCs w:val="24"/>
          <w:highlight w:val="none"/>
        </w:rPr>
      </w:pPr>
      <w:bookmarkStart w:id="17" w:name="_Toc35393792"/>
      <w:bookmarkStart w:id="18" w:name="_Toc35393623"/>
      <w:r>
        <w:rPr>
          <w:rFonts w:hint="eastAsia" w:ascii="宋体" w:hAnsi="宋体" w:eastAsia="宋体" w:cs="宋体"/>
          <w:color w:val="auto"/>
          <w:sz w:val="24"/>
          <w:szCs w:val="24"/>
          <w:highlight w:val="none"/>
        </w:rPr>
        <w:t>三、获取招标文件</w:t>
      </w:r>
      <w:bookmarkEnd w:id="15"/>
      <w:bookmarkEnd w:id="16"/>
      <w:bookmarkEnd w:id="17"/>
      <w:bookmarkEnd w:id="18"/>
    </w:p>
    <w:p w14:paraId="60569E52">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1.时间：自招标文件公告发布之日起5个工作日</w:t>
      </w:r>
    </w:p>
    <w:p w14:paraId="0E9AE029">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lang w:eastAsia="zh-CN"/>
        </w:rPr>
      </w:pPr>
      <w:bookmarkStart w:id="19" w:name="_Toc28359082"/>
      <w:bookmarkStart w:id="20" w:name="_Toc28359005"/>
      <w:bookmarkStart w:id="21" w:name="_Toc35393624"/>
      <w:bookmarkStart w:id="22" w:name="_Toc35393793"/>
      <w:r>
        <w:rPr>
          <w:rFonts w:hint="eastAsia" w:ascii="宋体" w:hAnsi="宋体" w:eastAsia="宋体" w:cs="宋体"/>
          <w:color w:val="auto"/>
          <w:sz w:val="24"/>
          <w:szCs w:val="24"/>
          <w:highlight w:val="none"/>
        </w:rPr>
        <w:t>2.地点：“苏采云”系统内免费下载（投标人必须在苏采云系统中获取采购文件，方能参与政府采购项目）</w:t>
      </w:r>
      <w:r>
        <w:rPr>
          <w:rFonts w:hint="eastAsia" w:ascii="宋体" w:hAnsi="宋体" w:eastAsia="宋体" w:cs="宋体"/>
          <w:color w:val="auto"/>
          <w:sz w:val="24"/>
          <w:szCs w:val="24"/>
          <w:highlight w:val="none"/>
          <w:lang w:eastAsia="zh-CN"/>
        </w:rPr>
        <w:t>；</w:t>
      </w:r>
    </w:p>
    <w:p w14:paraId="2BCDC973">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3.方式：本项目采用网上注册登记方式</w:t>
      </w:r>
    </w:p>
    <w:p w14:paraId="64681ED0">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w:t>
      </w:r>
      <w:r>
        <w:rPr>
          <w:rFonts w:hint="eastAsia" w:ascii="宋体" w:hAnsi="宋体" w:eastAsia="宋体" w:cs="宋体"/>
          <w:color w:val="auto"/>
          <w:sz w:val="24"/>
          <w:szCs w:val="24"/>
          <w:highlight w:val="none"/>
          <w:lang w:val="en-US" w:eastAsia="zh-CN"/>
        </w:rPr>
        <w:t>0元</w:t>
      </w:r>
    </w:p>
    <w:p w14:paraId="030832FF">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四、提交投标文件</w:t>
      </w:r>
      <w:bookmarkEnd w:id="19"/>
      <w:bookmarkEnd w:id="20"/>
      <w:r>
        <w:rPr>
          <w:rFonts w:hint="eastAsia" w:ascii="宋体" w:hAnsi="宋体" w:eastAsia="宋体" w:cs="宋体"/>
          <w:color w:val="auto"/>
          <w:sz w:val="24"/>
          <w:szCs w:val="24"/>
          <w:highlight w:val="none"/>
        </w:rPr>
        <w:t>截止时间、开标时间和地点</w:t>
      </w:r>
      <w:bookmarkEnd w:id="21"/>
      <w:bookmarkEnd w:id="22"/>
    </w:p>
    <w:p w14:paraId="56C8F65A">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bookmarkStart w:id="23" w:name="_Toc28359084"/>
      <w:bookmarkStart w:id="24" w:name="_Toc28359007"/>
      <w:bookmarkStart w:id="25" w:name="_Toc35393794"/>
      <w:bookmarkStart w:id="26" w:name="_Toc35393625"/>
      <w:r>
        <w:rPr>
          <w:rFonts w:hint="eastAsia" w:ascii="宋体" w:hAnsi="宋体" w:eastAsia="宋体" w:cs="宋体"/>
          <w:color w:val="auto"/>
          <w:kern w:val="0"/>
          <w:sz w:val="24"/>
          <w:szCs w:val="22"/>
          <w:highlight w:val="none"/>
        </w:rPr>
        <w:t>1.时间：202</w:t>
      </w:r>
      <w:r>
        <w:rPr>
          <w:rFonts w:hint="eastAsia" w:ascii="宋体" w:hAnsi="宋体" w:eastAsia="宋体" w:cs="宋体"/>
          <w:color w:val="auto"/>
          <w:kern w:val="0"/>
          <w:sz w:val="24"/>
          <w:szCs w:val="22"/>
          <w:highlight w:val="none"/>
          <w:lang w:val="en-US" w:eastAsia="zh-CN"/>
        </w:rPr>
        <w:t>6</w:t>
      </w:r>
      <w:r>
        <w:rPr>
          <w:rFonts w:hint="eastAsia" w:ascii="宋体" w:hAnsi="宋体" w:eastAsia="宋体" w:cs="宋体"/>
          <w:color w:val="auto"/>
          <w:kern w:val="0"/>
          <w:sz w:val="24"/>
          <w:szCs w:val="22"/>
          <w:highlight w:val="none"/>
        </w:rPr>
        <w:t>年</w:t>
      </w:r>
      <w:r>
        <w:rPr>
          <w:rFonts w:hint="eastAsia" w:ascii="宋体" w:hAnsi="宋体" w:cs="宋体"/>
          <w:color w:val="auto"/>
          <w:kern w:val="0"/>
          <w:sz w:val="24"/>
          <w:szCs w:val="22"/>
          <w:highlight w:val="none"/>
          <w:lang w:val="en-US" w:eastAsia="zh-CN"/>
        </w:rPr>
        <w:t>7</w:t>
      </w:r>
      <w:r>
        <w:rPr>
          <w:rFonts w:hint="eastAsia" w:ascii="宋体" w:hAnsi="宋体" w:eastAsia="宋体" w:cs="宋体"/>
          <w:color w:val="auto"/>
          <w:kern w:val="0"/>
          <w:sz w:val="24"/>
          <w:szCs w:val="22"/>
          <w:highlight w:val="none"/>
        </w:rPr>
        <w:t>月</w:t>
      </w:r>
      <w:r>
        <w:rPr>
          <w:rFonts w:hint="eastAsia" w:ascii="宋体" w:hAnsi="宋体" w:cs="宋体"/>
          <w:color w:val="auto"/>
          <w:kern w:val="0"/>
          <w:sz w:val="24"/>
          <w:szCs w:val="22"/>
          <w:highlight w:val="none"/>
          <w:lang w:val="en-US" w:eastAsia="zh-CN"/>
        </w:rPr>
        <w:t>6</w:t>
      </w:r>
      <w:r>
        <w:rPr>
          <w:rFonts w:hint="eastAsia" w:ascii="宋体" w:hAnsi="宋体" w:eastAsia="宋体" w:cs="宋体"/>
          <w:color w:val="auto"/>
          <w:kern w:val="0"/>
          <w:sz w:val="24"/>
          <w:szCs w:val="22"/>
          <w:highlight w:val="none"/>
        </w:rPr>
        <w:t>日</w:t>
      </w:r>
      <w:r>
        <w:rPr>
          <w:rFonts w:hint="eastAsia" w:ascii="宋体" w:hAnsi="宋体" w:eastAsia="宋体" w:cs="宋体"/>
          <w:color w:val="auto"/>
          <w:kern w:val="0"/>
          <w:sz w:val="24"/>
          <w:szCs w:val="22"/>
          <w:highlight w:val="none"/>
          <w:lang w:val="en-US" w:eastAsia="zh-CN"/>
        </w:rPr>
        <w:t>9</w:t>
      </w:r>
      <w:r>
        <w:rPr>
          <w:rFonts w:hint="eastAsia" w:ascii="宋体" w:hAnsi="宋体" w:eastAsia="宋体" w:cs="宋体"/>
          <w:color w:val="auto"/>
          <w:kern w:val="0"/>
          <w:sz w:val="24"/>
          <w:szCs w:val="22"/>
          <w:highlight w:val="none"/>
        </w:rPr>
        <w:t>:00</w:t>
      </w:r>
      <w:r>
        <w:rPr>
          <w:rFonts w:hint="eastAsia" w:ascii="宋体" w:hAnsi="宋体" w:eastAsia="宋体" w:cs="宋体"/>
          <w:color w:val="auto"/>
          <w:kern w:val="0"/>
          <w:sz w:val="24"/>
          <w:szCs w:val="22"/>
          <w:highlight w:val="none"/>
          <w:lang w:val="en-US" w:eastAsia="zh-CN"/>
        </w:rPr>
        <w:t>:00</w:t>
      </w:r>
      <w:r>
        <w:rPr>
          <w:rFonts w:hint="eastAsia" w:ascii="宋体" w:hAnsi="宋体" w:eastAsia="宋体" w:cs="宋体"/>
          <w:color w:val="auto"/>
          <w:kern w:val="0"/>
          <w:sz w:val="24"/>
          <w:szCs w:val="22"/>
          <w:highlight w:val="none"/>
        </w:rPr>
        <w:t>（北京时间）。</w:t>
      </w:r>
    </w:p>
    <w:p w14:paraId="5E758655">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2.地点：苏采云“不见面”开标大厅。</w:t>
      </w:r>
    </w:p>
    <w:p w14:paraId="7A908B08">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五、公告期限</w:t>
      </w:r>
      <w:bookmarkEnd w:id="23"/>
      <w:bookmarkEnd w:id="24"/>
      <w:bookmarkEnd w:id="25"/>
      <w:bookmarkEnd w:id="26"/>
    </w:p>
    <w:p w14:paraId="064DDF4E">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自本公告发布之日起5个工作日。</w:t>
      </w:r>
    </w:p>
    <w:p w14:paraId="2082F097">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szCs w:val="24"/>
          <w:highlight w:val="none"/>
        </w:rPr>
      </w:pPr>
      <w:bookmarkStart w:id="27" w:name="_Toc35393795"/>
      <w:bookmarkStart w:id="28" w:name="_Toc35393626"/>
      <w:r>
        <w:rPr>
          <w:rFonts w:hint="eastAsia" w:ascii="宋体" w:hAnsi="宋体" w:eastAsia="宋体" w:cs="宋体"/>
          <w:color w:val="auto"/>
          <w:sz w:val="24"/>
          <w:szCs w:val="24"/>
          <w:highlight w:val="none"/>
        </w:rPr>
        <w:t>六、其他补充事宜</w:t>
      </w:r>
      <w:bookmarkEnd w:id="27"/>
      <w:bookmarkEnd w:id="28"/>
    </w:p>
    <w:p w14:paraId="71FC319C">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bookmarkStart w:id="29" w:name="OLE_LINK63"/>
      <w:r>
        <w:rPr>
          <w:rFonts w:hint="eastAsia" w:ascii="宋体" w:hAnsi="宋体" w:eastAsia="宋体" w:cs="宋体"/>
          <w:color w:val="auto"/>
          <w:kern w:val="0"/>
          <w:sz w:val="24"/>
          <w:szCs w:val="2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B2CC55A">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53F9DC5">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2.潜在供应商访问电子招标响应交易平台的网络地址和方法：</w:t>
      </w:r>
    </w:p>
    <w:p w14:paraId="48ABB030">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63DA466A">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2.2潜在投标人访问“苏采云”系统方法：江苏省政府采购网首页-“苏采云”链接。</w:t>
      </w:r>
    </w:p>
    <w:p w14:paraId="08A11A3C">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2.3采购文件（后缀名为“.kedt”）、供应商操作手册及政府采购客户端工具可通过“苏采云”系统相应链接进行下载。</w:t>
      </w:r>
    </w:p>
    <w:p w14:paraId="451A22B3">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2.4采购代理机构将数据电文形式的采购文件加载至“苏采云”系统，供潜在供应商下载或者查阅。</w:t>
      </w:r>
    </w:p>
    <w:p w14:paraId="26C40A77">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2.5请潜在投标单位提前安装相应的控件（详见《“苏采云”系统供应商操作手册》）并使用谷歌浏览器登录“苏采云”系统参与不见面开评标。</w:t>
      </w:r>
    </w:p>
    <w:p w14:paraId="2F0CA277">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如潜在投标人未按上述要求操作，将自行承担所产生的风险。</w:t>
      </w:r>
    </w:p>
    <w:p w14:paraId="0664347A">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3.有关本次招标的事项若存在变动或修改，敬请及时关注</w:t>
      </w:r>
      <w:r>
        <w:rPr>
          <w:rFonts w:hint="eastAsia" w:ascii="宋体" w:hAnsi="宋体" w:eastAsia="宋体" w:cs="宋体"/>
          <w:color w:val="auto"/>
          <w:kern w:val="0"/>
          <w:sz w:val="24"/>
          <w:szCs w:val="22"/>
          <w:highlight w:val="none"/>
          <w:lang w:val="en-US" w:eastAsia="zh-CN"/>
        </w:rPr>
        <w:t>采购人</w:t>
      </w:r>
      <w:r>
        <w:rPr>
          <w:rFonts w:hint="eastAsia" w:ascii="宋体" w:hAnsi="宋体" w:eastAsia="宋体" w:cs="宋体"/>
          <w:color w:val="auto"/>
          <w:kern w:val="0"/>
          <w:sz w:val="24"/>
          <w:szCs w:val="22"/>
          <w:highlight w:val="none"/>
        </w:rPr>
        <w:t>在“中国政府采购网”、“江苏政府采购网”、“盐城市政府采购网”发布的更正公告。</w:t>
      </w:r>
    </w:p>
    <w:p w14:paraId="06B91F6C">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4.本次招标不收取投标保证金，不收取质量保证金。</w:t>
      </w:r>
      <w:bookmarkEnd w:id="29"/>
    </w:p>
    <w:p w14:paraId="3EF3DA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5.电子投标文件一份(通过系统提交)；纸质投标文件正本一份，副本四份（评审结束后由中标候选人提供，未中标单位不需要提供）。</w:t>
      </w:r>
    </w:p>
    <w:p w14:paraId="5AE14C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6.因投标人的系统环境、操作等原因导致的问题由投标人自行承担负责。</w:t>
      </w:r>
    </w:p>
    <w:p w14:paraId="254A769A">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p>
    <w:p w14:paraId="567F42B4">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.本项目落实小微型企业扶持政府采购政策（详见招标文件）。</w:t>
      </w:r>
    </w:p>
    <w:p w14:paraId="1D2F2C7D">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lang w:val="en-US" w:eastAsia="zh-CN"/>
        </w:rPr>
        <w:t>9</w:t>
      </w:r>
      <w:r>
        <w:rPr>
          <w:rFonts w:hint="eastAsia" w:ascii="宋体" w:hAnsi="宋体" w:eastAsia="宋体" w:cs="宋体"/>
          <w:strike w:val="0"/>
          <w:dstrike w:val="0"/>
          <w:color w:val="auto"/>
          <w:sz w:val="24"/>
          <w:szCs w:val="24"/>
          <w:highlight w:val="none"/>
        </w:rPr>
        <w:t>.付款方式：</w:t>
      </w:r>
    </w:p>
    <w:p w14:paraId="369EA48C">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1、合同</w:t>
      </w:r>
      <w:r>
        <w:rPr>
          <w:rFonts w:hint="eastAsia" w:ascii="宋体" w:hAnsi="宋体" w:cs="宋体"/>
          <w:strike w:val="0"/>
          <w:dstrike w:val="0"/>
          <w:color w:val="auto"/>
          <w:sz w:val="24"/>
          <w:szCs w:val="24"/>
          <w:highlight w:val="none"/>
          <w:lang w:eastAsia="zh-CN"/>
        </w:rPr>
        <w:t>签订</w:t>
      </w:r>
      <w:r>
        <w:rPr>
          <w:rFonts w:hint="eastAsia" w:ascii="宋体" w:hAnsi="宋体" w:eastAsia="宋体" w:cs="宋体"/>
          <w:strike w:val="0"/>
          <w:dstrike w:val="0"/>
          <w:color w:val="auto"/>
          <w:sz w:val="24"/>
          <w:szCs w:val="24"/>
          <w:highlight w:val="none"/>
        </w:rPr>
        <w:t>后7日内支付合同总价的</w:t>
      </w:r>
      <w:r>
        <w:rPr>
          <w:rFonts w:hint="eastAsia" w:ascii="宋体" w:hAnsi="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0%作为预付款（中标人须提供合同总价10%的金融机构或担保机构出具的保函）。</w:t>
      </w:r>
    </w:p>
    <w:p w14:paraId="4B736D5D">
      <w:pPr>
        <w:pStyle w:val="23"/>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2、采购人根据中标人收住特困人员类别和人数，按月给付供养经费（由采购人按月提请财政部门给付），供养经费应全部用于特困人员供养费用；按季度给付除供养经费之外的</w:t>
      </w:r>
      <w:r>
        <w:rPr>
          <w:rFonts w:hint="eastAsia" w:hAnsi="宋体" w:cs="宋体"/>
          <w:strike w:val="0"/>
          <w:dstrike w:val="0"/>
          <w:color w:val="auto"/>
          <w:sz w:val="24"/>
          <w:szCs w:val="24"/>
          <w:highlight w:val="none"/>
          <w:lang w:eastAsia="zh-CN"/>
        </w:rPr>
        <w:t>其他</w:t>
      </w:r>
      <w:r>
        <w:rPr>
          <w:rFonts w:hint="eastAsia" w:ascii="宋体" w:hAnsi="宋体" w:eastAsia="宋体" w:cs="宋体"/>
          <w:strike w:val="0"/>
          <w:dstrike w:val="0"/>
          <w:color w:val="auto"/>
          <w:sz w:val="24"/>
          <w:szCs w:val="24"/>
          <w:highlight w:val="none"/>
        </w:rPr>
        <w:t>运营经费，每季度第一个月，根据上季度收住特困人员类别、人数、考评结果等因素，</w:t>
      </w:r>
      <w:r>
        <w:rPr>
          <w:rFonts w:hint="eastAsia" w:hAnsi="宋体" w:cs="宋体"/>
          <w:i/>
          <w:iCs/>
          <w:color w:val="auto"/>
          <w:sz w:val="24"/>
          <w:szCs w:val="24"/>
          <w:highlight w:val="none"/>
          <w:lang w:val="en-US" w:eastAsia="zh-CN"/>
        </w:rPr>
        <w:t>结算</w:t>
      </w:r>
      <w:r>
        <w:rPr>
          <w:rFonts w:hint="eastAsia" w:ascii="宋体" w:hAnsi="宋体" w:eastAsia="宋体" w:cs="宋体"/>
          <w:color w:val="auto"/>
          <w:sz w:val="24"/>
          <w:szCs w:val="24"/>
          <w:highlight w:val="none"/>
        </w:rPr>
        <w:t>上季度相关运营经费</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中标人提供相应税务发票或凭证</w:t>
      </w:r>
      <w:r>
        <w:rPr>
          <w:rFonts w:hint="eastAsia" w:hAnsi="宋体" w:cs="宋体"/>
          <w:color w:val="auto"/>
          <w:sz w:val="24"/>
          <w:szCs w:val="24"/>
          <w:highlight w:val="none"/>
          <w:lang w:eastAsia="zh-CN"/>
        </w:rPr>
        <w:t>，</w:t>
      </w:r>
      <w:r>
        <w:rPr>
          <w:rFonts w:hint="eastAsia" w:hAnsi="宋体" w:cs="宋体"/>
          <w:i/>
          <w:iCs/>
          <w:color w:val="auto"/>
          <w:sz w:val="24"/>
          <w:szCs w:val="24"/>
          <w:highlight w:val="none"/>
          <w:lang w:val="en-US" w:eastAsia="zh-CN"/>
        </w:rPr>
        <w:t>待上级资金到位后及时拨付中标人</w:t>
      </w:r>
      <w:r>
        <w:rPr>
          <w:rFonts w:hint="eastAsia" w:ascii="宋体" w:hAnsi="宋体" w:eastAsia="宋体" w:cs="宋体"/>
          <w:i/>
          <w:iCs/>
          <w:color w:val="auto"/>
          <w:sz w:val="24"/>
          <w:szCs w:val="24"/>
          <w:highlight w:val="none"/>
        </w:rPr>
        <w:t>。</w:t>
      </w:r>
    </w:p>
    <w:p w14:paraId="7CCC84F6">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z w:val="24"/>
          <w:szCs w:val="24"/>
          <w:highlight w:val="none"/>
        </w:rPr>
        <w:t>3、合同期的最后一个季度运营经费暂不给付，待中标人按照采购人要求交接好相关设施设备、数据、资料后拨付。</w:t>
      </w:r>
    </w:p>
    <w:p w14:paraId="3E59468D">
      <w:pPr>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strike/>
          <w:dstrike w:val="0"/>
          <w:color w:val="auto"/>
          <w:sz w:val="24"/>
          <w:szCs w:val="24"/>
          <w:highlight w:val="none"/>
          <w:u w:val="single"/>
        </w:rPr>
      </w:pPr>
      <w:r>
        <w:rPr>
          <w:rFonts w:hint="eastAsia" w:ascii="宋体" w:hAnsi="宋体" w:eastAsia="宋体" w:cs="宋体"/>
          <w:strike w:val="0"/>
          <w:dstrike w:val="0"/>
          <w:color w:val="auto"/>
          <w:sz w:val="24"/>
          <w:szCs w:val="24"/>
          <w:highlight w:val="none"/>
        </w:rPr>
        <w:t>4、对中标人的运营管理情况每季度考核一次，考核细则见附件（采购人有权根据上级政策和县情实际调整考核内容，但与县内</w:t>
      </w:r>
      <w:r>
        <w:rPr>
          <w:rFonts w:hint="eastAsia" w:ascii="宋体" w:hAnsi="宋体" w:cs="宋体"/>
          <w:strike w:val="0"/>
          <w:dstrike w:val="0"/>
          <w:color w:val="auto"/>
          <w:sz w:val="24"/>
          <w:szCs w:val="24"/>
          <w:highlight w:val="none"/>
          <w:lang w:eastAsia="zh-CN"/>
        </w:rPr>
        <w:t>其他</w:t>
      </w:r>
      <w:r>
        <w:rPr>
          <w:rFonts w:hint="eastAsia" w:ascii="宋体" w:hAnsi="宋体" w:eastAsia="宋体" w:cs="宋体"/>
          <w:strike w:val="0"/>
          <w:dstrike w:val="0"/>
          <w:color w:val="auto"/>
          <w:sz w:val="24"/>
          <w:szCs w:val="24"/>
          <w:highlight w:val="none"/>
        </w:rPr>
        <w:t>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p>
    <w:p w14:paraId="417F7067">
      <w:pPr>
        <w:pStyle w:val="2"/>
        <w:keepLines w:val="0"/>
        <w:pageBreakBefore w:val="0"/>
        <w:widowControl w:val="0"/>
        <w:tabs>
          <w:tab w:val="left" w:pos="0"/>
          <w:tab w:val="left" w:pos="3165"/>
          <w:tab w:val="center" w:pos="4153"/>
        </w:tabs>
        <w:kinsoku/>
        <w:wordWrap/>
        <w:overflowPunct/>
        <w:topLinePunct w:val="0"/>
        <w:autoSpaceDE w:val="0"/>
        <w:autoSpaceDN w:val="0"/>
        <w:bidi w:val="0"/>
        <w:adjustRightInd w:val="0"/>
        <w:spacing w:line="360" w:lineRule="auto"/>
        <w:ind w:firstLine="480" w:firstLineChars="200"/>
        <w:jc w:val="left"/>
        <w:textAlignment w:val="auto"/>
        <w:rPr>
          <w:rFonts w:hint="eastAsia" w:ascii="宋体" w:hAnsi="宋体" w:eastAsia="宋体" w:cs="宋体"/>
          <w:color w:val="auto"/>
          <w:sz w:val="24"/>
          <w:szCs w:val="24"/>
          <w:highlight w:val="none"/>
        </w:rPr>
      </w:pPr>
      <w:bookmarkStart w:id="30" w:name="_Toc35393796"/>
      <w:bookmarkStart w:id="31" w:name="_Toc28359085"/>
      <w:bookmarkStart w:id="32" w:name="_Toc35393627"/>
      <w:bookmarkStart w:id="33" w:name="_Toc28359008"/>
      <w:r>
        <w:rPr>
          <w:rFonts w:hint="eastAsia" w:ascii="宋体" w:hAnsi="宋体" w:eastAsia="宋体" w:cs="宋体"/>
          <w:color w:val="auto"/>
          <w:sz w:val="24"/>
          <w:szCs w:val="24"/>
          <w:highlight w:val="none"/>
        </w:rPr>
        <w:t>七、对本次招标提出询问，请按以下方式联系。</w:t>
      </w:r>
      <w:bookmarkEnd w:id="30"/>
      <w:bookmarkEnd w:id="31"/>
      <w:bookmarkEnd w:id="32"/>
      <w:bookmarkEnd w:id="33"/>
    </w:p>
    <w:p w14:paraId="37D1BC8F">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1.采购人信息</w:t>
      </w:r>
    </w:p>
    <w:p w14:paraId="0FB734BC">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名    称：</w:t>
      </w:r>
      <w:r>
        <w:rPr>
          <w:rFonts w:hint="eastAsia" w:ascii="宋体" w:hAnsi="宋体" w:eastAsia="宋体" w:cs="宋体"/>
          <w:color w:val="auto"/>
          <w:kern w:val="0"/>
          <w:sz w:val="24"/>
          <w:szCs w:val="24"/>
          <w:highlight w:val="none"/>
          <w:lang w:eastAsia="zh-CN"/>
        </w:rPr>
        <w:t>滨海县通榆镇人民政府</w:t>
      </w:r>
    </w:p>
    <w:p w14:paraId="0F4220EA">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lang w:eastAsia="zh-CN"/>
        </w:rPr>
        <w:t>江苏省盐城市滨海县通榆镇迎宾路188号</w:t>
      </w:r>
    </w:p>
    <w:p w14:paraId="29B45DD7">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rPr>
        <w:t>联系人：</w:t>
      </w:r>
      <w:r>
        <w:rPr>
          <w:rFonts w:hint="eastAsia" w:ascii="宋体" w:hAnsi="宋体" w:eastAsia="宋体" w:cs="宋体"/>
          <w:color w:val="auto"/>
          <w:kern w:val="0"/>
          <w:sz w:val="24"/>
          <w:szCs w:val="24"/>
          <w:highlight w:val="none"/>
          <w:lang w:val="en-US" w:eastAsia="zh-CN"/>
        </w:rPr>
        <w:t>刘先生</w:t>
      </w:r>
    </w:p>
    <w:p w14:paraId="0DA1CFAB">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联系电话：</w:t>
      </w:r>
      <w:r>
        <w:rPr>
          <w:rFonts w:hint="eastAsia" w:ascii="宋体" w:hAnsi="宋体" w:eastAsia="宋体" w:cs="宋体"/>
          <w:color w:val="auto"/>
          <w:kern w:val="0"/>
          <w:sz w:val="24"/>
          <w:szCs w:val="24"/>
          <w:highlight w:val="none"/>
          <w:lang w:val="en-US" w:eastAsia="zh-CN"/>
        </w:rPr>
        <w:t>13961919615</w:t>
      </w:r>
    </w:p>
    <w:p w14:paraId="10AB238A">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2.代理机构：</w:t>
      </w:r>
      <w:r>
        <w:rPr>
          <w:rFonts w:hint="eastAsia" w:ascii="宋体" w:hAnsi="宋体" w:eastAsia="宋体" w:cs="宋体"/>
          <w:color w:val="auto"/>
          <w:kern w:val="0"/>
          <w:sz w:val="24"/>
          <w:szCs w:val="24"/>
          <w:highlight w:val="none"/>
          <w:lang w:eastAsia="zh-CN"/>
        </w:rPr>
        <w:t>江苏建世工程咨询有限公司</w:t>
      </w:r>
    </w:p>
    <w:p w14:paraId="1BA0549C">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地址：江苏滨海县S327与西湖路交汇处滨海配送超市办公楼1幢6层</w:t>
      </w:r>
    </w:p>
    <w:p w14:paraId="12307ABC">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联系人：</w:t>
      </w:r>
      <w:r>
        <w:rPr>
          <w:rFonts w:hint="eastAsia" w:ascii="宋体" w:hAnsi="宋体" w:eastAsia="宋体" w:cs="宋体"/>
          <w:color w:val="auto"/>
          <w:kern w:val="0"/>
          <w:sz w:val="24"/>
          <w:szCs w:val="24"/>
          <w:highlight w:val="none"/>
          <w:lang w:val="en-US" w:eastAsia="zh-CN"/>
        </w:rPr>
        <w:t>毛</w:t>
      </w:r>
      <w:r>
        <w:rPr>
          <w:rFonts w:hint="eastAsia" w:ascii="宋体" w:hAnsi="宋体" w:eastAsia="宋体" w:cs="宋体"/>
          <w:color w:val="auto"/>
          <w:kern w:val="0"/>
          <w:sz w:val="24"/>
          <w:szCs w:val="24"/>
          <w:highlight w:val="none"/>
        </w:rPr>
        <w:t>女士</w:t>
      </w:r>
    </w:p>
    <w:p w14:paraId="10243CBC">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联系方式：</w:t>
      </w:r>
      <w:r>
        <w:rPr>
          <w:rFonts w:hint="eastAsia" w:ascii="宋体" w:hAnsi="宋体" w:eastAsia="宋体" w:cs="宋体"/>
          <w:color w:val="auto"/>
          <w:kern w:val="0"/>
          <w:sz w:val="24"/>
          <w:szCs w:val="24"/>
          <w:highlight w:val="none"/>
          <w:lang w:val="en-US" w:eastAsia="zh-CN"/>
        </w:rPr>
        <w:t>15261917643</w:t>
      </w:r>
      <w:r>
        <w:rPr>
          <w:rFonts w:hint="eastAsia" w:ascii="宋体" w:hAnsi="宋体" w:eastAsia="宋体" w:cs="宋体"/>
          <w:color w:val="auto"/>
          <w:kern w:val="0"/>
          <w:sz w:val="24"/>
          <w:szCs w:val="24"/>
          <w:highlight w:val="none"/>
        </w:rPr>
        <w:t xml:space="preserve">                </w:t>
      </w:r>
    </w:p>
    <w:p w14:paraId="36CD7D3A">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3.项目联系方式</w:t>
      </w:r>
    </w:p>
    <w:p w14:paraId="00F2079F">
      <w:pPr>
        <w:keepLines w:val="0"/>
        <w:pageBreakBefore w:val="0"/>
        <w:widowControl w:val="0"/>
        <w:tabs>
          <w:tab w:val="left" w:pos="900"/>
        </w:tabs>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项目联系人：</w:t>
      </w:r>
      <w:r>
        <w:rPr>
          <w:rFonts w:hint="eastAsia" w:ascii="宋体" w:hAnsi="宋体" w:eastAsia="宋体" w:cs="宋体"/>
          <w:color w:val="auto"/>
          <w:kern w:val="0"/>
          <w:sz w:val="24"/>
          <w:szCs w:val="24"/>
          <w:highlight w:val="none"/>
          <w:lang w:val="en-US" w:eastAsia="zh-CN"/>
        </w:rPr>
        <w:t>刘先生</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毛</w:t>
      </w:r>
      <w:r>
        <w:rPr>
          <w:rFonts w:hint="eastAsia" w:ascii="宋体" w:hAnsi="宋体" w:eastAsia="宋体" w:cs="宋体"/>
          <w:color w:val="auto"/>
          <w:kern w:val="0"/>
          <w:sz w:val="24"/>
          <w:szCs w:val="24"/>
          <w:highlight w:val="none"/>
        </w:rPr>
        <w:t>女士</w:t>
      </w:r>
    </w:p>
    <w:p w14:paraId="2115A9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color w:val="auto"/>
          <w:sz w:val="24"/>
          <w:szCs w:val="24"/>
          <w:highlight w:val="none"/>
          <w:u w:val="singl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lang w:val="en-US" w:eastAsia="zh-CN"/>
        </w:rPr>
        <w:t>13961919615</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15261917643</w:t>
      </w:r>
      <w:r>
        <w:rPr>
          <w:rFonts w:hint="eastAsia" w:ascii="宋体" w:hAnsi="宋体" w:cs="宋体"/>
          <w:color w:val="auto"/>
          <w:sz w:val="24"/>
          <w:szCs w:val="24"/>
          <w:highlight w:val="none"/>
        </w:rPr>
        <w:t>　　</w:t>
      </w:r>
    </w:p>
    <w:p w14:paraId="6B1C52A2">
      <w:pPr>
        <w:pageBreakBefore w:val="0"/>
        <w:widowControl/>
        <w:kinsoku/>
        <w:wordWrap/>
        <w:overflowPunct/>
        <w:topLinePunct w:val="0"/>
        <w:bidi w:val="0"/>
        <w:spacing w:line="360" w:lineRule="auto"/>
        <w:ind w:firstLine="560" w:firstLineChars="200"/>
        <w:jc w:val="left"/>
        <w:textAlignment w:val="auto"/>
        <w:rPr>
          <w:rFonts w:ascii="仿宋" w:hAnsi="仿宋" w:eastAsia="仿宋"/>
          <w:color w:val="auto"/>
          <w:sz w:val="28"/>
          <w:szCs w:val="28"/>
          <w:highlight w:val="none"/>
        </w:rPr>
      </w:pPr>
    </w:p>
    <w:p w14:paraId="46E4B75B">
      <w:pPr>
        <w:pageBreakBefore w:val="0"/>
        <w:kinsoku/>
        <w:wordWrap/>
        <w:overflowPunct/>
        <w:topLinePunct w:val="0"/>
        <w:bidi w:val="0"/>
        <w:spacing w:line="360" w:lineRule="auto"/>
        <w:ind w:firstLine="420" w:firstLineChars="200"/>
        <w:textAlignment w:val="auto"/>
        <w:rPr>
          <w:rFonts w:hint="eastAsia" w:ascii="黑体" w:eastAsia="黑体"/>
          <w:color w:val="auto"/>
          <w:highlight w:val="none"/>
        </w:rPr>
      </w:pPr>
      <w:bookmarkStart w:id="34" w:name="_Toc120614211"/>
      <w:r>
        <w:rPr>
          <w:rFonts w:hint="eastAsia" w:ascii="黑体" w:eastAsia="黑体"/>
          <w:color w:val="auto"/>
          <w:highlight w:val="none"/>
        </w:rPr>
        <w:br w:type="page"/>
      </w:r>
    </w:p>
    <w:p w14:paraId="3BD95217">
      <w:pPr>
        <w:pStyle w:val="3"/>
        <w:pageBreakBefore w:val="0"/>
        <w:kinsoku/>
        <w:wordWrap/>
        <w:overflowPunct/>
        <w:topLinePunct w:val="0"/>
        <w:bidi w:val="0"/>
        <w:spacing w:before="0" w:after="0" w:line="360" w:lineRule="auto"/>
        <w:ind w:firstLine="883" w:firstLineChars="200"/>
        <w:textAlignment w:val="auto"/>
        <w:rPr>
          <w:rFonts w:ascii="黑体" w:eastAsia="黑体"/>
          <w:b w:val="0"/>
          <w:bCs w:val="0"/>
          <w:color w:val="auto"/>
          <w:highlight w:val="none"/>
        </w:rPr>
      </w:pPr>
      <w:r>
        <w:rPr>
          <w:rFonts w:hint="eastAsia" w:ascii="黑体" w:eastAsia="黑体"/>
          <w:color w:val="auto"/>
          <w:highlight w:val="none"/>
        </w:rPr>
        <w:t xml:space="preserve">第二章  </w:t>
      </w:r>
      <w:bookmarkEnd w:id="1"/>
      <w:bookmarkEnd w:id="2"/>
      <w:bookmarkEnd w:id="3"/>
      <w:bookmarkEnd w:id="4"/>
      <w:bookmarkEnd w:id="5"/>
      <w:bookmarkEnd w:id="34"/>
      <w:bookmarkStart w:id="35" w:name="_Toc120614213"/>
      <w:bookmarkStart w:id="36" w:name="_Toc16938518"/>
      <w:bookmarkStart w:id="37" w:name="_Toc20823274"/>
      <w:bookmarkStart w:id="38" w:name="_Toc513029202"/>
      <w:r>
        <w:rPr>
          <w:rFonts w:hint="eastAsia" w:ascii="黑体" w:eastAsia="黑体"/>
          <w:color w:val="auto"/>
          <w:highlight w:val="none"/>
          <w:lang w:val="en-US" w:eastAsia="zh-CN"/>
        </w:rPr>
        <w:t>投标人</w:t>
      </w:r>
      <w:r>
        <w:rPr>
          <w:rFonts w:hint="eastAsia" w:ascii="黑体" w:eastAsia="黑体"/>
          <w:color w:val="auto"/>
          <w:highlight w:val="none"/>
        </w:rPr>
        <w:t>须知</w:t>
      </w:r>
      <w:bookmarkEnd w:id="35"/>
      <w:bookmarkEnd w:id="36"/>
      <w:bookmarkEnd w:id="37"/>
      <w:bookmarkEnd w:id="38"/>
    </w:p>
    <w:p w14:paraId="58B7F2CA">
      <w:pPr>
        <w:pStyle w:val="4"/>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bookmarkStart w:id="39" w:name="_Toc513029203"/>
      <w:bookmarkStart w:id="40" w:name="_Toc20823275"/>
      <w:bookmarkStart w:id="41" w:name="_Toc120614214"/>
      <w:bookmarkStart w:id="42" w:name="_Toc16938519"/>
      <w:r>
        <w:rPr>
          <w:rFonts w:hint="eastAsia" w:asciiTheme="minorEastAsia" w:hAnsiTheme="minorEastAsia" w:eastAsiaTheme="minorEastAsia" w:cstheme="minorEastAsia"/>
          <w:color w:val="auto"/>
          <w:sz w:val="24"/>
          <w:szCs w:val="24"/>
          <w:highlight w:val="none"/>
        </w:rPr>
        <w:t>一、总则</w:t>
      </w:r>
      <w:bookmarkEnd w:id="39"/>
      <w:bookmarkEnd w:id="40"/>
      <w:bookmarkEnd w:id="41"/>
      <w:bookmarkEnd w:id="42"/>
    </w:p>
    <w:p w14:paraId="3BF95378">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43" w:name="_Hlt16619475"/>
      <w:bookmarkEnd w:id="43"/>
      <w:bookmarkStart w:id="44" w:name="_Toc458694821"/>
      <w:bookmarkStart w:id="45" w:name="_Toc16938520"/>
      <w:bookmarkStart w:id="46" w:name="_Toc20823276"/>
      <w:bookmarkStart w:id="47" w:name="_Toc513029204"/>
      <w:r>
        <w:rPr>
          <w:rFonts w:hint="eastAsia" w:asciiTheme="minorEastAsia" w:hAnsiTheme="minorEastAsia" w:eastAsiaTheme="minorEastAsia" w:cstheme="minorEastAsia"/>
          <w:b w:val="0"/>
          <w:bCs w:val="0"/>
          <w:color w:val="auto"/>
          <w:sz w:val="24"/>
          <w:szCs w:val="24"/>
          <w:highlight w:val="none"/>
        </w:rPr>
        <w:t>1</w:t>
      </w:r>
      <w:bookmarkEnd w:id="44"/>
      <w:r>
        <w:rPr>
          <w:rFonts w:hint="eastAsia" w:asciiTheme="minorEastAsia" w:hAnsiTheme="minorEastAsia" w:eastAsiaTheme="minorEastAsia" w:cstheme="minorEastAsia"/>
          <w:b w:val="0"/>
          <w:bCs w:val="0"/>
          <w:color w:val="auto"/>
          <w:sz w:val="24"/>
          <w:szCs w:val="24"/>
          <w:highlight w:val="none"/>
        </w:rPr>
        <w:t>、招标方式</w:t>
      </w:r>
      <w:bookmarkEnd w:id="45"/>
      <w:bookmarkEnd w:id="46"/>
      <w:bookmarkEnd w:id="47"/>
    </w:p>
    <w:p w14:paraId="4F1331F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本次招标采取公开招标方式，本招标文件仅适用于招标公告中所述项目。</w:t>
      </w:r>
    </w:p>
    <w:p w14:paraId="1293D703">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48" w:name="_Toc16938521"/>
      <w:bookmarkStart w:id="49" w:name="_Toc513029205"/>
      <w:bookmarkStart w:id="50" w:name="_Toc20823277"/>
      <w:r>
        <w:rPr>
          <w:rFonts w:hint="eastAsia" w:asciiTheme="minorEastAsia" w:hAnsiTheme="minorEastAsia" w:eastAsiaTheme="minorEastAsia" w:cstheme="minorEastAsia"/>
          <w:b w:val="0"/>
          <w:bCs w:val="0"/>
          <w:color w:val="auto"/>
          <w:sz w:val="24"/>
          <w:szCs w:val="24"/>
          <w:highlight w:val="none"/>
        </w:rPr>
        <w:t>2、合格的投标人</w:t>
      </w:r>
      <w:bookmarkEnd w:id="48"/>
      <w:bookmarkEnd w:id="49"/>
      <w:bookmarkEnd w:id="50"/>
    </w:p>
    <w:p w14:paraId="0E22C31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2.1满足招标公告中供应商的资格要求的规定。</w:t>
      </w:r>
    </w:p>
    <w:p w14:paraId="7FEE2C6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 满足本文件实质性条款的规定。</w:t>
      </w:r>
    </w:p>
    <w:p w14:paraId="555B3F0F">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51" w:name="_Toc20823278"/>
      <w:bookmarkStart w:id="52" w:name="_Toc513029206"/>
      <w:bookmarkStart w:id="53" w:name="_Toc16938522"/>
      <w:r>
        <w:rPr>
          <w:rFonts w:hint="eastAsia" w:asciiTheme="minorEastAsia" w:hAnsiTheme="minorEastAsia" w:eastAsiaTheme="minorEastAsia" w:cstheme="minorEastAsia"/>
          <w:b w:val="0"/>
          <w:bCs w:val="0"/>
          <w:color w:val="auto"/>
          <w:sz w:val="24"/>
          <w:szCs w:val="24"/>
          <w:highlight w:val="none"/>
        </w:rPr>
        <w:t>3、</w:t>
      </w:r>
      <w:bookmarkEnd w:id="51"/>
      <w:bookmarkEnd w:id="52"/>
      <w:bookmarkEnd w:id="53"/>
      <w:r>
        <w:rPr>
          <w:rFonts w:hint="eastAsia" w:asciiTheme="minorEastAsia" w:hAnsiTheme="minorEastAsia" w:eastAsiaTheme="minorEastAsia" w:cstheme="minorEastAsia"/>
          <w:b w:val="0"/>
          <w:bCs w:val="0"/>
          <w:color w:val="auto"/>
          <w:sz w:val="24"/>
          <w:szCs w:val="24"/>
          <w:highlight w:val="none"/>
        </w:rPr>
        <w:t>适用法律和标准</w:t>
      </w:r>
    </w:p>
    <w:p w14:paraId="1F3A02B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本次招标及由此产生的合同受中华人民共和国有关的法律法规制约和保护。</w:t>
      </w:r>
    </w:p>
    <w:p w14:paraId="1A21610A">
      <w:pPr>
        <w:spacing w:line="400" w:lineRule="exact"/>
        <w:ind w:firstLine="420" w:firstLineChars="175"/>
        <w:rPr>
          <w:rFonts w:hint="default" w:asciiTheme="minorEastAsia" w:hAnsiTheme="minorEastAsia" w:eastAsiaTheme="minorEastAsia" w:cstheme="minorEastAsia"/>
          <w:color w:val="auto"/>
          <w:sz w:val="24"/>
          <w:szCs w:val="24"/>
          <w:highlight w:val="none"/>
          <w:lang w:val="en-US" w:eastAsia="zh-CN"/>
        </w:rPr>
      </w:pPr>
      <w:r>
        <w:rPr>
          <w:rFonts w:hint="eastAsia" w:ascii="方正魏碑_GBK" w:hAnsi="方正魏碑_GBK" w:eastAsia="方正魏碑_GBK" w:cs="方正魏碑_GBK"/>
          <w:color w:val="auto"/>
          <w:sz w:val="24"/>
          <w:szCs w:val="21"/>
          <w:highlight w:val="none"/>
        </w:rPr>
        <w:t>3.2 在本项目政府采购活动过程中，如果所执行的标准有更新的，按照最新标准执行。</w:t>
      </w:r>
    </w:p>
    <w:p w14:paraId="1BDEAD59">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54" w:name="_Toc20823279"/>
      <w:bookmarkStart w:id="55" w:name="_Toc513029207"/>
      <w:bookmarkStart w:id="56" w:name="_Toc462564067"/>
      <w:bookmarkStart w:id="57" w:name="_Toc16938523"/>
      <w:r>
        <w:rPr>
          <w:rFonts w:hint="eastAsia" w:asciiTheme="minorEastAsia" w:hAnsiTheme="minorEastAsia" w:eastAsiaTheme="minorEastAsia" w:cstheme="minorEastAsia"/>
          <w:b w:val="0"/>
          <w:bCs w:val="0"/>
          <w:color w:val="auto"/>
          <w:sz w:val="24"/>
          <w:szCs w:val="24"/>
          <w:highlight w:val="none"/>
        </w:rPr>
        <w:t>4、投标费用</w:t>
      </w:r>
      <w:bookmarkEnd w:id="54"/>
      <w:bookmarkEnd w:id="55"/>
      <w:bookmarkEnd w:id="56"/>
      <w:bookmarkEnd w:id="57"/>
    </w:p>
    <w:p w14:paraId="361BB2D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4.1</w:t>
      </w:r>
      <w:r>
        <w:rPr>
          <w:rFonts w:hint="eastAsia" w:asciiTheme="minorEastAsia" w:hAnsiTheme="minorEastAsia" w:eastAsiaTheme="minorEastAsia" w:cstheme="minorEastAsia"/>
          <w:color w:val="auto"/>
          <w:sz w:val="24"/>
          <w:szCs w:val="24"/>
          <w:highlight w:val="none"/>
        </w:rPr>
        <w:t xml:space="preserve"> 投标人应自行承担所有与参加投标有关的费用，无论投标过程中的做法和结果如何，采购人在任何情况下均无义务和责任承担这些费用。</w:t>
      </w:r>
    </w:p>
    <w:p w14:paraId="2EDDBA44">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w:t>
      </w:r>
      <w:r>
        <w:rPr>
          <w:rFonts w:hint="eastAsia" w:asciiTheme="minorEastAsia" w:hAnsiTheme="minorEastAsia" w:eastAsiaTheme="minorEastAsia" w:cstheme="minorEastAsia"/>
          <w:b/>
          <w:bCs/>
          <w:color w:val="auto"/>
          <w:kern w:val="0"/>
          <w:sz w:val="24"/>
          <w:szCs w:val="24"/>
          <w:highlight w:val="none"/>
          <w:lang w:val="en-US" w:eastAsia="zh-CN"/>
        </w:rPr>
        <w:t>本次招标代理服务费：</w:t>
      </w:r>
      <w:r>
        <w:rPr>
          <w:rFonts w:hint="eastAsia" w:asciiTheme="minorEastAsia" w:hAnsiTheme="minorEastAsia" w:eastAsiaTheme="minorEastAsia" w:cstheme="minorEastAsia"/>
          <w:b/>
          <w:bCs/>
          <w:color w:val="auto"/>
          <w:kern w:val="0"/>
          <w:sz w:val="24"/>
          <w:szCs w:val="24"/>
          <w:highlight w:val="none"/>
          <w:lang w:val="en-US" w:eastAsia="zh-CN" w:bidi="ar-SA"/>
        </w:rPr>
        <w:t>本项目代理服务费按《江苏省政府采购代理服务收费指导意见》（苏政采协〔2024〕20号）向中标供应商收取</w:t>
      </w:r>
      <w:r>
        <w:rPr>
          <w:rFonts w:hint="eastAsia" w:asciiTheme="minorEastAsia" w:hAnsiTheme="minorEastAsia" w:eastAsiaTheme="minorEastAsia" w:cstheme="minorEastAsia"/>
          <w:b/>
          <w:bCs/>
          <w:color w:val="auto"/>
          <w:kern w:val="0"/>
          <w:sz w:val="24"/>
          <w:szCs w:val="24"/>
          <w:highlight w:val="none"/>
          <w:lang w:val="en-US" w:eastAsia="zh-CN"/>
        </w:rPr>
        <w:t>。招标代理服务费由中标人承担，不单独列项，由供应商在报价时综合考虑。在成交供应商在领取成交通知书前，向采购代理机构一次性支付。</w:t>
      </w:r>
    </w:p>
    <w:p w14:paraId="71D9FFA6">
      <w:pPr>
        <w:pStyle w:val="6"/>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b w:val="0"/>
          <w:bCs w:val="0"/>
          <w:color w:val="auto"/>
          <w:sz w:val="24"/>
          <w:szCs w:val="24"/>
          <w:highlight w:val="none"/>
        </w:rPr>
        <w:t>招标文件的约束力</w:t>
      </w:r>
    </w:p>
    <w:p w14:paraId="5FD477F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5.1</w:t>
      </w:r>
      <w:r>
        <w:rPr>
          <w:rFonts w:hint="eastAsia" w:asciiTheme="minorEastAsia" w:hAnsiTheme="minorEastAsia" w:eastAsiaTheme="minorEastAsia" w:cstheme="minorEastAsia"/>
          <w:color w:val="auto"/>
          <w:sz w:val="24"/>
          <w:szCs w:val="24"/>
          <w:highlight w:val="none"/>
        </w:rPr>
        <w:t xml:space="preserve"> 投标人一旦参加本项目采购活动，即被认为接受了本招标文件的规定和约束。</w:t>
      </w:r>
    </w:p>
    <w:p w14:paraId="4451C784">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6、招标文件的解释</w:t>
      </w:r>
    </w:p>
    <w:p w14:paraId="0390CBA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6.1 本招标文件由采购人</w:t>
      </w:r>
      <w:r>
        <w:rPr>
          <w:rFonts w:hint="eastAsia" w:asciiTheme="minorEastAsia" w:hAnsiTheme="minorEastAsia" w:eastAsiaTheme="minorEastAsia" w:cstheme="minorEastAsia"/>
          <w:bCs/>
          <w:color w:val="auto"/>
          <w:sz w:val="24"/>
          <w:szCs w:val="24"/>
          <w:highlight w:val="none"/>
          <w:lang w:val="en-US" w:eastAsia="zh-CN"/>
        </w:rPr>
        <w:t>及招标代理机构</w:t>
      </w:r>
      <w:r>
        <w:rPr>
          <w:rFonts w:hint="eastAsia" w:asciiTheme="minorEastAsia" w:hAnsiTheme="minorEastAsia" w:eastAsiaTheme="minorEastAsia" w:cstheme="minorEastAsia"/>
          <w:bCs/>
          <w:color w:val="auto"/>
          <w:sz w:val="24"/>
          <w:szCs w:val="24"/>
          <w:highlight w:val="none"/>
        </w:rPr>
        <w:t>负责解释。</w:t>
      </w:r>
    </w:p>
    <w:p w14:paraId="223A07D6">
      <w:pPr>
        <w:pStyle w:val="4"/>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bookmarkStart w:id="58" w:name="_Toc16938525"/>
      <w:bookmarkStart w:id="59" w:name="_Toc20823281"/>
      <w:bookmarkStart w:id="60" w:name="_Toc513029209"/>
      <w:bookmarkStart w:id="61" w:name="_Toc120614215"/>
      <w:r>
        <w:rPr>
          <w:rFonts w:hint="eastAsia" w:asciiTheme="minorEastAsia" w:hAnsiTheme="minorEastAsia" w:eastAsiaTheme="minorEastAsia" w:cstheme="minorEastAsia"/>
          <w:color w:val="auto"/>
          <w:sz w:val="24"/>
          <w:szCs w:val="24"/>
          <w:highlight w:val="none"/>
        </w:rPr>
        <w:t>二、招标文件</w:t>
      </w:r>
      <w:bookmarkEnd w:id="58"/>
      <w:bookmarkEnd w:id="59"/>
      <w:bookmarkEnd w:id="60"/>
      <w:bookmarkEnd w:id="61"/>
    </w:p>
    <w:p w14:paraId="1867B86D">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62" w:name="_Toc20823282"/>
      <w:bookmarkStart w:id="63" w:name="_Toc513029210"/>
      <w:bookmarkStart w:id="64" w:name="_Toc16938526"/>
      <w:r>
        <w:rPr>
          <w:rFonts w:hint="eastAsia" w:asciiTheme="minorEastAsia" w:hAnsiTheme="minorEastAsia" w:eastAsiaTheme="minorEastAsia" w:cstheme="minorEastAsia"/>
          <w:b w:val="0"/>
          <w:bCs w:val="0"/>
          <w:color w:val="auto"/>
          <w:sz w:val="24"/>
          <w:szCs w:val="24"/>
          <w:highlight w:val="none"/>
        </w:rPr>
        <w:t>7、招标文件构成</w:t>
      </w:r>
      <w:bookmarkEnd w:id="62"/>
      <w:bookmarkEnd w:id="63"/>
      <w:bookmarkEnd w:id="64"/>
    </w:p>
    <w:p w14:paraId="6E1A779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7.1</w:t>
      </w:r>
      <w:r>
        <w:rPr>
          <w:rFonts w:hint="eastAsia" w:asciiTheme="minorEastAsia" w:hAnsiTheme="minorEastAsia" w:eastAsiaTheme="minorEastAsia" w:cstheme="minorEastAsia"/>
          <w:color w:val="auto"/>
          <w:sz w:val="24"/>
          <w:szCs w:val="24"/>
          <w:highlight w:val="none"/>
        </w:rPr>
        <w:t xml:space="preserve"> 招标文件有以下部分组成：</w:t>
      </w:r>
    </w:p>
    <w:p w14:paraId="55A76FA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14:paraId="450D3598">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须知</w:t>
      </w:r>
    </w:p>
    <w:p w14:paraId="4F50801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（3）合同</w:t>
      </w:r>
      <w:r>
        <w:rPr>
          <w:rFonts w:hint="eastAsia" w:asciiTheme="minorEastAsia" w:hAnsiTheme="minorEastAsia" w:eastAsiaTheme="minorEastAsia" w:cstheme="minorEastAsia"/>
          <w:color w:val="auto"/>
          <w:sz w:val="24"/>
          <w:szCs w:val="24"/>
          <w:highlight w:val="none"/>
          <w:lang w:val="en-US" w:eastAsia="zh-CN"/>
        </w:rPr>
        <w:t>文本</w:t>
      </w:r>
    </w:p>
    <w:p w14:paraId="09DEA82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需求</w:t>
      </w:r>
    </w:p>
    <w:p w14:paraId="02E6AC43">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（5）评标方法与评标标准</w:t>
      </w:r>
    </w:p>
    <w:p w14:paraId="7BF6EA4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14:paraId="2A1F101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请仔细检查招标文件是否齐全，如有缺漏请立即与采购代理机构联系解决。</w:t>
      </w:r>
    </w:p>
    <w:p w14:paraId="32C01D0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7.2</w:t>
      </w:r>
      <w:r>
        <w:rPr>
          <w:rFonts w:hint="eastAsia" w:asciiTheme="minorEastAsia" w:hAnsiTheme="minorEastAsia" w:eastAsiaTheme="minorEastAsia" w:cstheme="minorEastAsia"/>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4845187">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65" w:name="_Toc20823283"/>
      <w:bookmarkStart w:id="66" w:name="_Toc462564070"/>
      <w:bookmarkStart w:id="67" w:name="_Toc16938527"/>
      <w:bookmarkStart w:id="68" w:name="_Toc513029211"/>
      <w:r>
        <w:rPr>
          <w:rFonts w:hint="eastAsia" w:asciiTheme="minorEastAsia" w:hAnsiTheme="minorEastAsia" w:eastAsiaTheme="minorEastAsia" w:cstheme="minorEastAsia"/>
          <w:b w:val="0"/>
          <w:bCs w:val="0"/>
          <w:color w:val="auto"/>
          <w:sz w:val="24"/>
          <w:szCs w:val="24"/>
          <w:highlight w:val="none"/>
        </w:rPr>
        <w:t>8、</w:t>
      </w:r>
      <w:bookmarkEnd w:id="65"/>
      <w:bookmarkEnd w:id="66"/>
      <w:bookmarkEnd w:id="67"/>
      <w:bookmarkEnd w:id="68"/>
      <w:r>
        <w:rPr>
          <w:rFonts w:hint="eastAsia" w:asciiTheme="minorEastAsia" w:hAnsiTheme="minorEastAsia" w:eastAsiaTheme="minorEastAsia" w:cstheme="minorEastAsia"/>
          <w:b w:val="0"/>
          <w:bCs w:val="0"/>
          <w:color w:val="auto"/>
          <w:sz w:val="24"/>
          <w:szCs w:val="24"/>
          <w:highlight w:val="none"/>
        </w:rPr>
        <w:t>招标文件的澄清</w:t>
      </w:r>
    </w:p>
    <w:p w14:paraId="3EADCBF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8.1</w:t>
      </w:r>
      <w:r>
        <w:rPr>
          <w:rFonts w:hint="eastAsia" w:asciiTheme="minorEastAsia" w:hAnsiTheme="minorEastAsia" w:eastAsiaTheme="minorEastAsia" w:cstheme="minorEastAsia"/>
          <w:color w:val="auto"/>
          <w:sz w:val="24"/>
          <w:szCs w:val="24"/>
          <w:highlight w:val="none"/>
        </w:rPr>
        <w:t xml:space="preserve"> 任何要求对招标文件进行</w:t>
      </w:r>
      <w:r>
        <w:rPr>
          <w:rFonts w:hint="eastAsia" w:asciiTheme="minorEastAsia" w:hAnsiTheme="minorEastAsia" w:eastAsiaTheme="minorEastAsia" w:cstheme="minorEastAsia"/>
          <w:color w:val="auto"/>
          <w:sz w:val="24"/>
          <w:szCs w:val="24"/>
          <w:highlight w:val="none"/>
          <w:lang w:val="en-US" w:eastAsia="zh-CN"/>
        </w:rPr>
        <w:t>澄清</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，应在投标截止日期</w:t>
      </w:r>
      <w:r>
        <w:rPr>
          <w:rFonts w:hint="eastAsia" w:asciiTheme="minorEastAsia" w:hAnsiTheme="minorEastAsia" w:eastAsiaTheme="minorEastAsia" w:cstheme="minorEastAsia"/>
          <w:b/>
          <w:color w:val="auto"/>
          <w:sz w:val="24"/>
          <w:szCs w:val="24"/>
          <w:highlight w:val="none"/>
        </w:rPr>
        <w:t>十日</w:t>
      </w:r>
      <w:r>
        <w:rPr>
          <w:rFonts w:hint="eastAsia" w:asciiTheme="minorEastAsia" w:hAnsiTheme="minorEastAsia" w:eastAsiaTheme="minorEastAsia" w:cstheme="minorEastAsia"/>
          <w:color w:val="auto"/>
          <w:sz w:val="24"/>
          <w:szCs w:val="24"/>
          <w:highlight w:val="none"/>
        </w:rPr>
        <w:t>前按招标公告中的通讯地址，以书面形式通知采购代理机构。</w:t>
      </w:r>
    </w:p>
    <w:p w14:paraId="599CDDAA">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69" w:name="_Toc513029212"/>
      <w:bookmarkStart w:id="70" w:name="_Toc20823284"/>
      <w:bookmarkStart w:id="71" w:name="_Toc16938528"/>
      <w:bookmarkStart w:id="72" w:name="_Toc462564071"/>
      <w:r>
        <w:rPr>
          <w:rFonts w:hint="eastAsia" w:asciiTheme="minorEastAsia" w:hAnsiTheme="minorEastAsia" w:eastAsiaTheme="minorEastAsia" w:cstheme="minorEastAsia"/>
          <w:b w:val="0"/>
          <w:bCs w:val="0"/>
          <w:color w:val="auto"/>
          <w:sz w:val="24"/>
          <w:szCs w:val="24"/>
          <w:highlight w:val="none"/>
        </w:rPr>
        <w:t>9、招标文件的修改</w:t>
      </w:r>
      <w:bookmarkEnd w:id="69"/>
      <w:bookmarkEnd w:id="70"/>
      <w:bookmarkEnd w:id="71"/>
      <w:bookmarkEnd w:id="72"/>
    </w:p>
    <w:p w14:paraId="23461E8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9.1</w:t>
      </w:r>
      <w:r>
        <w:rPr>
          <w:rFonts w:hint="eastAsia" w:asciiTheme="minorEastAsia" w:hAnsiTheme="minorEastAsia" w:eastAsiaTheme="minorEastAsia" w:cstheme="minorEastAsia"/>
          <w:color w:val="auto"/>
          <w:sz w:val="24"/>
          <w:szCs w:val="24"/>
          <w:highlight w:val="none"/>
        </w:rPr>
        <w:t xml:space="preserve"> 在投标截止时间前，</w:t>
      </w:r>
      <w:r>
        <w:rPr>
          <w:rFonts w:hint="eastAsia" w:asciiTheme="minorEastAsia" w:hAnsiTheme="minorEastAsia" w:eastAsiaTheme="minorEastAsia" w:cstheme="minorEastAsia"/>
          <w:bCs/>
          <w:color w:val="auto"/>
          <w:sz w:val="24"/>
          <w:szCs w:val="24"/>
          <w:highlight w:val="none"/>
        </w:rPr>
        <w:t>采购代理机构</w:t>
      </w:r>
      <w:r>
        <w:rPr>
          <w:rFonts w:hint="eastAsia" w:asciiTheme="minorEastAsia" w:hAnsiTheme="minorEastAsia" w:eastAsiaTheme="minorEastAsia" w:cstheme="minorEastAsia"/>
          <w:color w:val="auto"/>
          <w:sz w:val="24"/>
          <w:szCs w:val="24"/>
          <w:highlight w:val="none"/>
        </w:rPr>
        <w:t>可以对招标文件进行修改。</w:t>
      </w:r>
    </w:p>
    <w:p w14:paraId="4E82F18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9.2</w:t>
      </w:r>
      <w:r>
        <w:rPr>
          <w:rFonts w:hint="eastAsia" w:asciiTheme="minorEastAsia" w:hAnsiTheme="minorEastAsia" w:eastAsiaTheme="minorEastAsia" w:cstheme="minorEastAsia"/>
          <w:color w:val="auto"/>
          <w:sz w:val="24"/>
          <w:szCs w:val="24"/>
          <w:highlight w:val="none"/>
        </w:rPr>
        <w:t>采购代理机构有权依法推迟投标截止日期和开标日期。</w:t>
      </w:r>
    </w:p>
    <w:p w14:paraId="2BEE3B6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9.3</w:t>
      </w:r>
      <w:r>
        <w:rPr>
          <w:rFonts w:hint="eastAsia" w:asciiTheme="minorEastAsia" w:hAnsiTheme="minorEastAsia" w:eastAsiaTheme="minorEastAsia" w:cstheme="minorEastAsia"/>
          <w:color w:val="auto"/>
          <w:sz w:val="24"/>
          <w:szCs w:val="24"/>
          <w:highlight w:val="none"/>
        </w:rPr>
        <w:t>招标文件的修改将在</w:t>
      </w:r>
      <w:r>
        <w:rPr>
          <w:rFonts w:hint="eastAsia" w:asciiTheme="minorEastAsia" w:hAnsiTheme="minorEastAsia" w:eastAsiaTheme="minorEastAsia" w:cstheme="minorEastAsia"/>
          <w:bCs/>
          <w:color w:val="auto"/>
          <w:sz w:val="24"/>
          <w:szCs w:val="24"/>
          <w:highlight w:val="none"/>
        </w:rPr>
        <w:t>“中国政府采购网”、“江苏政府采购网、盐城市政府采购网”</w:t>
      </w:r>
      <w:r>
        <w:rPr>
          <w:rFonts w:hint="eastAsia" w:asciiTheme="minorEastAsia" w:hAnsiTheme="minorEastAsia" w:eastAsiaTheme="minorEastAsia" w:cstheme="minorEastAsia"/>
          <w:color w:val="auto"/>
          <w:sz w:val="24"/>
          <w:szCs w:val="24"/>
          <w:highlight w:val="none"/>
        </w:rPr>
        <w:t>公布，补充文件将作为招标文件的组成部分，并对投标人具有约束力。</w:t>
      </w:r>
    </w:p>
    <w:p w14:paraId="2166CC41">
      <w:pPr>
        <w:pStyle w:val="4"/>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bookmarkStart w:id="73" w:name="_Toc20823285"/>
      <w:bookmarkStart w:id="74" w:name="_Toc513029213"/>
      <w:bookmarkStart w:id="75" w:name="_Toc462564072"/>
      <w:bookmarkStart w:id="76" w:name="_Toc16938529"/>
      <w:bookmarkStart w:id="77" w:name="_Toc120614216"/>
      <w:r>
        <w:rPr>
          <w:rFonts w:hint="eastAsia" w:asciiTheme="minorEastAsia" w:hAnsiTheme="minorEastAsia" w:eastAsiaTheme="minorEastAsia" w:cstheme="minorEastAsia"/>
          <w:color w:val="auto"/>
          <w:sz w:val="24"/>
          <w:szCs w:val="24"/>
          <w:highlight w:val="none"/>
        </w:rPr>
        <w:t>三、投标文件的编制</w:t>
      </w:r>
      <w:bookmarkEnd w:id="73"/>
      <w:bookmarkEnd w:id="74"/>
      <w:bookmarkEnd w:id="75"/>
      <w:bookmarkEnd w:id="76"/>
      <w:bookmarkEnd w:id="77"/>
    </w:p>
    <w:p w14:paraId="078B4ED7">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Cs w:val="0"/>
          <w:color w:val="auto"/>
          <w:sz w:val="24"/>
          <w:szCs w:val="24"/>
          <w:highlight w:val="none"/>
        </w:rPr>
      </w:pPr>
      <w:bookmarkStart w:id="78" w:name="_Toc462564073"/>
      <w:bookmarkStart w:id="79" w:name="_Toc16938530"/>
      <w:bookmarkStart w:id="80" w:name="_Toc513029214"/>
      <w:bookmarkStart w:id="81" w:name="_Toc20823286"/>
      <w:r>
        <w:rPr>
          <w:rFonts w:hint="eastAsia" w:asciiTheme="minorEastAsia" w:hAnsiTheme="minorEastAsia" w:eastAsiaTheme="minorEastAsia" w:cstheme="minorEastAsia"/>
          <w:b w:val="0"/>
          <w:bCs w:val="0"/>
          <w:color w:val="auto"/>
          <w:sz w:val="24"/>
          <w:szCs w:val="24"/>
          <w:highlight w:val="none"/>
        </w:rPr>
        <w:t>10、投标文件的语言及度量衡单位</w:t>
      </w:r>
      <w:bookmarkEnd w:id="78"/>
      <w:bookmarkEnd w:id="79"/>
      <w:bookmarkEnd w:id="80"/>
      <w:bookmarkEnd w:id="81"/>
    </w:p>
    <w:p w14:paraId="7FCDB5A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10.1</w:t>
      </w:r>
      <w:r>
        <w:rPr>
          <w:rFonts w:hint="eastAsia" w:asciiTheme="minorEastAsia" w:hAnsiTheme="minorEastAsia" w:eastAsiaTheme="minorEastAsia" w:cstheme="minorEastAsia"/>
          <w:color w:val="auto"/>
          <w:sz w:val="24"/>
          <w:szCs w:val="24"/>
          <w:highlight w:val="none"/>
        </w:rPr>
        <w:t xml:space="preserve"> 投标人提交的投标文件以及投标人与采购人就有关投标的所有来往通知、函件和文件均应使用</w:t>
      </w:r>
      <w:r>
        <w:rPr>
          <w:rFonts w:hint="eastAsia" w:asciiTheme="minorEastAsia" w:hAnsiTheme="minorEastAsia" w:eastAsiaTheme="minorEastAsia" w:cstheme="minorEastAsia"/>
          <w:b/>
          <w:bCs/>
          <w:color w:val="auto"/>
          <w:sz w:val="24"/>
          <w:szCs w:val="24"/>
          <w:highlight w:val="none"/>
        </w:rPr>
        <w:t>简体中文</w:t>
      </w:r>
      <w:r>
        <w:rPr>
          <w:rFonts w:hint="eastAsia" w:asciiTheme="minorEastAsia" w:hAnsiTheme="minorEastAsia" w:eastAsiaTheme="minorEastAsia" w:cstheme="minorEastAsia"/>
          <w:color w:val="auto"/>
          <w:sz w:val="24"/>
          <w:szCs w:val="24"/>
          <w:highlight w:val="none"/>
        </w:rPr>
        <w:t>。</w:t>
      </w:r>
    </w:p>
    <w:p w14:paraId="4F7ABAC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10.2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p>
    <w:p w14:paraId="4F2A4294">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82" w:name="_Toc513029215"/>
      <w:bookmarkStart w:id="83" w:name="_Toc462564074"/>
      <w:bookmarkStart w:id="84" w:name="_Toc20823287"/>
      <w:bookmarkStart w:id="85" w:name="_Toc16938531"/>
      <w:r>
        <w:rPr>
          <w:rFonts w:hint="eastAsia" w:asciiTheme="minorEastAsia" w:hAnsiTheme="minorEastAsia" w:eastAsiaTheme="minorEastAsia" w:cstheme="minorEastAsia"/>
          <w:b w:val="0"/>
          <w:bCs w:val="0"/>
          <w:color w:val="auto"/>
          <w:sz w:val="24"/>
          <w:szCs w:val="24"/>
          <w:highlight w:val="none"/>
        </w:rPr>
        <w:t>11、投标文件构成</w:t>
      </w:r>
      <w:bookmarkEnd w:id="82"/>
      <w:bookmarkEnd w:id="83"/>
      <w:bookmarkEnd w:id="84"/>
      <w:bookmarkEnd w:id="85"/>
    </w:p>
    <w:p w14:paraId="219A48C2">
      <w:pPr>
        <w:keepNext/>
        <w:keepLines/>
        <w:pageBreakBefore w:val="0"/>
        <w:kinsoku/>
        <w:wordWrap/>
        <w:overflowPunct/>
        <w:topLinePunct w:val="0"/>
        <w:bidi w:val="0"/>
        <w:spacing w:line="360" w:lineRule="auto"/>
        <w:ind w:firstLine="480" w:firstLineChars="200"/>
        <w:textAlignment w:val="auto"/>
        <w:outlineLvl w:val="3"/>
        <w:rPr>
          <w:rFonts w:hint="eastAsia" w:asciiTheme="minorEastAsia" w:hAnsiTheme="minorEastAsia" w:eastAsiaTheme="minorEastAsia" w:cstheme="minorEastAsia"/>
          <w:bCs/>
          <w:color w:val="auto"/>
          <w:sz w:val="24"/>
          <w:szCs w:val="24"/>
          <w:highlight w:val="none"/>
        </w:rPr>
      </w:pPr>
      <w:bookmarkStart w:id="86" w:name="_Toc14577354"/>
      <w:bookmarkStart w:id="87" w:name="_Toc513029219"/>
      <w:bookmarkStart w:id="88" w:name="_Toc14577357"/>
      <w:bookmarkStart w:id="89" w:name="_Toc49090509"/>
      <w:bookmarkStart w:id="90" w:name="_Toc49090507"/>
      <w:bookmarkStart w:id="91" w:name="_Toc513029216"/>
      <w:r>
        <w:rPr>
          <w:rFonts w:hint="eastAsia" w:asciiTheme="minorEastAsia" w:hAnsiTheme="minorEastAsia" w:eastAsiaTheme="minorEastAsia" w:cstheme="minorEastAsia"/>
          <w:bCs/>
          <w:color w:val="auto"/>
          <w:sz w:val="24"/>
          <w:szCs w:val="24"/>
          <w:highlight w:val="none"/>
          <w:lang w:val="en-US" w:eastAsia="zh-CN"/>
        </w:rPr>
        <w:t>11.1</w:t>
      </w:r>
      <w:r>
        <w:rPr>
          <w:rFonts w:hint="eastAsia" w:asciiTheme="minorEastAsia" w:hAnsiTheme="minorEastAsia" w:eastAsiaTheme="minorEastAsia" w:cstheme="minorEastAsia"/>
          <w:bCs/>
          <w:color w:val="auto"/>
          <w:sz w:val="24"/>
          <w:szCs w:val="24"/>
          <w:highlight w:val="none"/>
        </w:rPr>
        <w:t>供应商编写的投标文件应包括资格证明文件、符合性证明文件、投标分项报价表、技术要求响应及偏离表、商务要求响应及偏离表、投标函、开标一览表、其他证明文件等部分。</w:t>
      </w:r>
    </w:p>
    <w:p w14:paraId="12AF0F6F">
      <w:pPr>
        <w:pStyle w:val="42"/>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11.2</w:t>
      </w:r>
      <w:r>
        <w:rPr>
          <w:rFonts w:hint="eastAsia" w:asciiTheme="minorEastAsia" w:hAnsiTheme="minorEastAsia" w:eastAsiaTheme="minorEastAsia" w:cstheme="minorEastAsia"/>
          <w:color w:val="auto"/>
          <w:sz w:val="24"/>
          <w:szCs w:val="24"/>
          <w:highlight w:val="none"/>
        </w:rPr>
        <w:t>如标书制作工具中格式和内容与“中国政府采购网”、“江苏政府采购网”、“盐城市政府采购网”发布的招标文件不一致，请以“中国政府采购网”、“江苏政府采购网”、“盐城市政府采购网”发布的招标文件为准。</w:t>
      </w:r>
    </w:p>
    <w:p w14:paraId="0547BB44">
      <w:pPr>
        <w:pStyle w:val="6"/>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证明供应商及投标标的符合招标文件规定的文件</w:t>
      </w:r>
    </w:p>
    <w:p w14:paraId="2BE7CA30">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color w:val="auto"/>
          <w:sz w:val="24"/>
          <w:szCs w:val="24"/>
          <w:highlight w:val="none"/>
          <w:lang w:val="en-US" w:eastAsia="zh-CN"/>
        </w:rPr>
        <w:t>2.1投标人</w:t>
      </w:r>
      <w:r>
        <w:rPr>
          <w:rFonts w:hint="eastAsia" w:asciiTheme="minorEastAsia" w:hAnsiTheme="minorEastAsia" w:eastAsiaTheme="minorEastAsia" w:cstheme="minorEastAsia"/>
          <w:color w:val="auto"/>
          <w:sz w:val="24"/>
          <w:szCs w:val="24"/>
          <w:highlight w:val="none"/>
        </w:rPr>
        <w:t>应按照法律、法规、规章和规范性文件以及招标文件要求提交证明文件，证明其及投标标的符合招标文件规定。</w:t>
      </w:r>
    </w:p>
    <w:p w14:paraId="5E7F2BAB">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11.2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招标文件对证明文件无明确形式要求的，证明文件可以以文字资料、图纸和数据等形式提交。</w:t>
      </w:r>
    </w:p>
    <w:bookmarkEnd w:id="86"/>
    <w:bookmarkEnd w:id="87"/>
    <w:bookmarkEnd w:id="88"/>
    <w:bookmarkEnd w:id="89"/>
    <w:bookmarkEnd w:id="90"/>
    <w:bookmarkEnd w:id="91"/>
    <w:p w14:paraId="5471386C">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bookmarkStart w:id="92" w:name="_Toc49090508"/>
      <w:bookmarkStart w:id="93" w:name="_Toc14577355"/>
      <w:r>
        <w:rPr>
          <w:rFonts w:hint="eastAsia" w:asciiTheme="minorEastAsia" w:hAnsiTheme="minorEastAsia" w:eastAsiaTheme="minorEastAsia" w:cstheme="minorEastAsia"/>
          <w:color w:val="auto"/>
          <w:sz w:val="24"/>
          <w:szCs w:val="24"/>
          <w:highlight w:val="none"/>
          <w:lang w:val="en-US" w:eastAsia="zh-CN"/>
        </w:rPr>
        <w:t>12、投标分项报价表</w:t>
      </w:r>
    </w:p>
    <w:p w14:paraId="74C7B2D1">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12.1投标人应按照招标文件规定格式填报投标分项报价表。</w:t>
      </w:r>
    </w:p>
    <w:p w14:paraId="10459FD6">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12.2投标货币。投标文件中的单价和总价无特殊规定的采用人民币报价，以元为单位标注。招标文件中另有规定的按规定执行。</w:t>
      </w:r>
    </w:p>
    <w:p w14:paraId="742640D8">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13、技术要求响应及偏离表、商务要求响应及偏离表</w:t>
      </w:r>
    </w:p>
    <w:p w14:paraId="4AB13DFD">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13.1投标人需对招标文件中的技术要求与商务要求逐项作出响应或偏离，并说明原因。</w:t>
      </w:r>
    </w:p>
    <w:p w14:paraId="26DF4475">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13.2投标人可在投标文件中提供认为需要的其他技术文件或说明。</w:t>
      </w:r>
    </w:p>
    <w:p w14:paraId="5EF53854">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14、投标函和开标一览表</w:t>
      </w:r>
    </w:p>
    <w:p w14:paraId="2375A30B">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14.1投标人应按照招标文件中提供的格式完整、正确填写投标函、开标一览表。</w:t>
      </w:r>
    </w:p>
    <w:p w14:paraId="1FF4EC83">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14.2对于采用货币报价的项目，开标一览表中的投标总报价应与投标分项报价表中的投标总报价一致，如不一致，不作为无效投标处理，但评标时按开标一览表中价格为准。</w:t>
      </w:r>
    </w:p>
    <w:p w14:paraId="26680525">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15、投标有效期</w:t>
      </w:r>
    </w:p>
    <w:p w14:paraId="2AFC5941">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15.1投标有效期为采购人及代理机构规定的开标之日后</w:t>
      </w:r>
      <w:r>
        <w:rPr>
          <w:rFonts w:hint="eastAsia" w:asciiTheme="minorEastAsia" w:hAnsiTheme="minorEastAsia" w:eastAsiaTheme="minorEastAsia" w:cstheme="minorEastAsia"/>
          <w:b/>
          <w:bCs/>
          <w:color w:val="auto"/>
          <w:sz w:val="24"/>
          <w:szCs w:val="24"/>
          <w:highlight w:val="none"/>
          <w:u w:val="single"/>
          <w:lang w:val="en-US" w:eastAsia="zh-CN"/>
        </w:rPr>
        <w:t>九十（90）天</w:t>
      </w:r>
      <w:r>
        <w:rPr>
          <w:rFonts w:hint="eastAsia" w:asciiTheme="minorEastAsia" w:hAnsiTheme="minorEastAsia" w:eastAsiaTheme="minorEastAsia" w:cstheme="minorEastAsia"/>
          <w:color w:val="auto"/>
          <w:sz w:val="24"/>
          <w:szCs w:val="24"/>
          <w:highlight w:val="none"/>
          <w:lang w:val="en-US" w:eastAsia="zh-CN"/>
        </w:rPr>
        <w:t>。投标有效期比规定短的将被视为未实质性响应招标文件而予以拒绝。</w:t>
      </w:r>
    </w:p>
    <w:p w14:paraId="2DE1BE15">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16、投标有效期的延长</w:t>
      </w:r>
    </w:p>
    <w:p w14:paraId="783B166A">
      <w:pPr>
        <w:pageBreakBefore w:val="0"/>
        <w:widowControl/>
        <w:kinsoku/>
        <w:wordWrap/>
        <w:overflowPunct/>
        <w:topLinePunct w:val="0"/>
        <w:bidi w:val="0"/>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16.1在特殊情况下，采购人及代理机构于原投标有效期满之前，可向投标人提出延长投标有效期的要求。这种要求与答复均应采用书面形式。投标人可以拒绝采购人及代理机构的这一要求而放弃投标。同意延长投标有效期的投标人既不能要求也不允许修改其投标文件，同时受投标有效期约束的所有权利与义务均延长至新的有效期。</w:t>
      </w:r>
    </w:p>
    <w:bookmarkEnd w:id="92"/>
    <w:bookmarkEnd w:id="93"/>
    <w:p w14:paraId="7FB764DB">
      <w:pPr>
        <w:pStyle w:val="4"/>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bookmarkStart w:id="94" w:name="_Toc20823296"/>
      <w:bookmarkStart w:id="95" w:name="_Toc513029224"/>
      <w:bookmarkStart w:id="96" w:name="_Toc16938540"/>
      <w:bookmarkStart w:id="97" w:name="_Toc120614217"/>
      <w:r>
        <w:rPr>
          <w:rFonts w:hint="eastAsia" w:asciiTheme="minorEastAsia" w:hAnsiTheme="minorEastAsia" w:eastAsiaTheme="minorEastAsia" w:cstheme="minorEastAsia"/>
          <w:color w:val="auto"/>
          <w:sz w:val="24"/>
          <w:szCs w:val="24"/>
          <w:highlight w:val="none"/>
        </w:rPr>
        <w:t>四、投标文件的递交</w:t>
      </w:r>
      <w:bookmarkEnd w:id="94"/>
      <w:bookmarkEnd w:id="95"/>
      <w:bookmarkEnd w:id="96"/>
      <w:bookmarkEnd w:id="97"/>
    </w:p>
    <w:p w14:paraId="67AAE3D4">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98" w:name="_Toc513029225"/>
      <w:bookmarkStart w:id="99" w:name="_Toc20823297"/>
      <w:bookmarkStart w:id="100" w:name="_Toc16938541"/>
      <w:bookmarkStart w:id="101" w:name="_Toc462564084"/>
      <w:r>
        <w:rPr>
          <w:rFonts w:hint="eastAsia" w:asciiTheme="minorEastAsia" w:hAnsiTheme="minorEastAsia" w:eastAsiaTheme="minorEastAsia" w:cstheme="minorEastAsia"/>
          <w:b w:val="0"/>
          <w:bCs w:val="0"/>
          <w:color w:val="auto"/>
          <w:sz w:val="24"/>
          <w:szCs w:val="24"/>
          <w:highlight w:val="none"/>
        </w:rPr>
        <w:t>17、</w:t>
      </w:r>
      <w:bookmarkEnd w:id="98"/>
      <w:bookmarkEnd w:id="99"/>
      <w:bookmarkEnd w:id="100"/>
      <w:bookmarkEnd w:id="101"/>
      <w:r>
        <w:rPr>
          <w:rFonts w:hint="eastAsia" w:asciiTheme="minorEastAsia" w:hAnsiTheme="minorEastAsia" w:eastAsiaTheme="minorEastAsia" w:cstheme="minorEastAsia"/>
          <w:b w:val="0"/>
          <w:bCs w:val="0"/>
          <w:color w:val="auto"/>
          <w:sz w:val="24"/>
          <w:szCs w:val="24"/>
          <w:highlight w:val="none"/>
        </w:rPr>
        <w:t>电子投标文件的递交</w:t>
      </w:r>
    </w:p>
    <w:p w14:paraId="1CE4E99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17.1电子投标文件的递交</w:t>
      </w:r>
    </w:p>
    <w:p w14:paraId="1B21A293">
      <w:pPr>
        <w:pageBreakBefore w:val="0"/>
        <w:tabs>
          <w:tab w:val="left" w:pos="525"/>
          <w:tab w:val="left" w:pos="945"/>
        </w:tabs>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供应商应当按照《操作手册》规定，在投标截止时间前制作并上传电子投标文件。</w:t>
      </w:r>
    </w:p>
    <w:p w14:paraId="1158D08A">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bookmarkStart w:id="102" w:name="_Toc20823298"/>
      <w:bookmarkStart w:id="103" w:name="_Toc16938542"/>
      <w:bookmarkStart w:id="104" w:name="_Toc513029226"/>
      <w:r>
        <w:rPr>
          <w:rFonts w:hint="eastAsia" w:asciiTheme="minorEastAsia" w:hAnsiTheme="minorEastAsia" w:eastAsiaTheme="minorEastAsia" w:cstheme="minorEastAsia"/>
          <w:b w:val="0"/>
          <w:bCs w:val="0"/>
          <w:color w:val="auto"/>
          <w:sz w:val="24"/>
          <w:szCs w:val="24"/>
          <w:highlight w:val="none"/>
        </w:rPr>
        <w:t>18、投标截止</w:t>
      </w:r>
      <w:bookmarkEnd w:id="102"/>
      <w:bookmarkEnd w:id="103"/>
      <w:bookmarkEnd w:id="104"/>
      <w:r>
        <w:rPr>
          <w:rFonts w:hint="eastAsia" w:asciiTheme="minorEastAsia" w:hAnsiTheme="minorEastAsia" w:eastAsiaTheme="minorEastAsia" w:cstheme="minorEastAsia"/>
          <w:b w:val="0"/>
          <w:bCs w:val="0"/>
          <w:color w:val="auto"/>
          <w:sz w:val="24"/>
          <w:szCs w:val="24"/>
          <w:highlight w:val="none"/>
          <w:lang w:val="en-US" w:eastAsia="zh-CN"/>
        </w:rPr>
        <w:t>时间</w:t>
      </w:r>
    </w:p>
    <w:p w14:paraId="1018D8F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i/>
          <w:color w:val="auto"/>
          <w:sz w:val="24"/>
          <w:szCs w:val="24"/>
          <w:highlight w:val="none"/>
        </w:rPr>
      </w:pPr>
      <w:bookmarkStart w:id="105" w:name="_Toc16938543"/>
      <w:bookmarkStart w:id="106" w:name="_Toc513029227"/>
      <w:bookmarkStart w:id="107" w:name="_Toc20823299"/>
      <w:r>
        <w:rPr>
          <w:rFonts w:hint="eastAsia" w:asciiTheme="minorEastAsia" w:hAnsiTheme="minorEastAsia" w:eastAsiaTheme="minorEastAsia" w:cstheme="minorEastAsia"/>
          <w:i/>
          <w:color w:val="auto"/>
          <w:sz w:val="24"/>
          <w:szCs w:val="24"/>
          <w:highlight w:val="none"/>
          <w:u w:val="single"/>
          <w:lang w:val="en-US" w:eastAsia="zh-CN" w:bidi="ar"/>
        </w:rPr>
        <w:t>1</w:t>
      </w:r>
      <w:r>
        <w:rPr>
          <w:rFonts w:hint="eastAsia" w:asciiTheme="minorEastAsia" w:hAnsiTheme="minorEastAsia" w:eastAsiaTheme="minorEastAsia" w:cstheme="minorEastAsia"/>
          <w:i/>
          <w:color w:val="auto"/>
          <w:sz w:val="24"/>
          <w:szCs w:val="24"/>
          <w:highlight w:val="none"/>
          <w:u w:val="single"/>
          <w:lang w:bidi="ar"/>
        </w:rPr>
        <w:t>8.1供应商上传电子投标文件的时间不得迟于招标公告中规定的投标截止时间。</w:t>
      </w:r>
    </w:p>
    <w:p w14:paraId="4F5DD2EF">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供应商应充分考虑到网络环境、网络带宽等风险因素，如因供应商自身原因造成的电子投标文件上传不成功的按照本招标文件第二章第26.1.2条规定</w:t>
      </w:r>
      <w:r>
        <w:rPr>
          <w:rFonts w:hint="eastAsia" w:asciiTheme="minorEastAsia" w:hAnsiTheme="minorEastAsia" w:eastAsiaTheme="minorEastAsia" w:cstheme="minorEastAsia"/>
          <w:color w:val="auto"/>
          <w:sz w:val="24"/>
          <w:szCs w:val="24"/>
          <w:highlight w:val="none"/>
          <w:lang w:eastAsia="zh-CN" w:bidi="ar"/>
        </w:rPr>
        <w:t>作无效投标</w:t>
      </w:r>
      <w:r>
        <w:rPr>
          <w:rFonts w:hint="eastAsia" w:asciiTheme="minorEastAsia" w:hAnsiTheme="minorEastAsia" w:eastAsiaTheme="minorEastAsia" w:cstheme="minorEastAsia"/>
          <w:color w:val="auto"/>
          <w:sz w:val="24"/>
          <w:szCs w:val="24"/>
          <w:highlight w:val="none"/>
          <w:lang w:bidi="ar"/>
        </w:rPr>
        <w:t>处理。</w:t>
      </w:r>
    </w:p>
    <w:p w14:paraId="2A913257">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Theme="minorEastAsia" w:hAnsiTheme="minorEastAsia" w:eastAsiaTheme="minorEastAsia" w:cstheme="minorEastAsia"/>
          <w:b w:val="0"/>
          <w:bCs w:val="0"/>
          <w:color w:val="auto"/>
          <w:kern w:val="2"/>
          <w:sz w:val="24"/>
          <w:szCs w:val="24"/>
          <w:highlight w:val="none"/>
          <w:lang w:val="en-US" w:eastAsia="zh-CN" w:bidi="ar"/>
        </w:rPr>
        <w:t>18.2采购代理机构可以按照规定，通过修改招标文件酌情延长投标截止时间，在此情况下，供应商的所有权利和义务以及供应商受制的截止时间均应以延长后新的截止时间为准。</w:t>
      </w:r>
    </w:p>
    <w:p w14:paraId="2B5EDD35">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19、</w:t>
      </w:r>
      <w:bookmarkEnd w:id="105"/>
      <w:bookmarkEnd w:id="106"/>
      <w:bookmarkEnd w:id="107"/>
      <w:r>
        <w:rPr>
          <w:rFonts w:hint="eastAsia" w:asciiTheme="minorEastAsia" w:hAnsiTheme="minorEastAsia" w:eastAsiaTheme="minorEastAsia" w:cstheme="minorEastAsia"/>
          <w:b w:val="0"/>
          <w:bCs w:val="0"/>
          <w:color w:val="auto"/>
          <w:sz w:val="24"/>
          <w:szCs w:val="24"/>
          <w:highlight w:val="none"/>
        </w:rPr>
        <w:t>投标文件的拒收</w:t>
      </w:r>
    </w:p>
    <w:p w14:paraId="21997A5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19.1</w:t>
      </w:r>
      <w:r>
        <w:rPr>
          <w:rFonts w:hint="eastAsia" w:asciiTheme="minorEastAsia" w:hAnsiTheme="minorEastAsia" w:eastAsiaTheme="minorEastAsia" w:cstheme="minorEastAsia"/>
          <w:bCs/>
          <w:color w:val="auto"/>
          <w:sz w:val="24"/>
          <w:szCs w:val="24"/>
          <w:highlight w:val="none"/>
        </w:rPr>
        <w:t>采购代理机构拒绝接收在其规定的投标截止时间后上传的任何投标文件。</w:t>
      </w:r>
    </w:p>
    <w:p w14:paraId="55619DBF">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108" w:name="_Toc513029228"/>
      <w:bookmarkStart w:id="109" w:name="_Toc20823300"/>
      <w:bookmarkStart w:id="110" w:name="_Toc16938544"/>
      <w:r>
        <w:rPr>
          <w:rFonts w:hint="eastAsia" w:asciiTheme="minorEastAsia" w:hAnsiTheme="minorEastAsia" w:eastAsiaTheme="minorEastAsia" w:cstheme="minorEastAsia"/>
          <w:b w:val="0"/>
          <w:bCs w:val="0"/>
          <w:color w:val="auto"/>
          <w:sz w:val="24"/>
          <w:szCs w:val="24"/>
          <w:highlight w:val="none"/>
        </w:rPr>
        <w:t>20、投标文件的修改和撤回</w:t>
      </w:r>
      <w:bookmarkEnd w:id="108"/>
      <w:bookmarkEnd w:id="109"/>
      <w:bookmarkEnd w:id="110"/>
    </w:p>
    <w:p w14:paraId="17AD04E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20.1投标文件的撤回</w:t>
      </w:r>
    </w:p>
    <w:p w14:paraId="043033E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20.1.1电子投标文件的撤回</w:t>
      </w:r>
    </w:p>
    <w:p w14:paraId="0ED20EB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供应商可在投标截止时间前，撤回其电子投标文件，具体操作方法见《操作手册》。</w:t>
      </w:r>
    </w:p>
    <w:p w14:paraId="58425A7B">
      <w:pPr>
        <w:pageBreakBefore w:val="0"/>
        <w:tabs>
          <w:tab w:val="left" w:pos="525"/>
          <w:tab w:val="left" w:pos="945"/>
        </w:tabs>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20.1.2供应商撤回电子投标文件，则认为其不再参与本项目投标活动。</w:t>
      </w:r>
    </w:p>
    <w:p w14:paraId="4B44A3A4">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20.2</w:t>
      </w:r>
      <w:r>
        <w:rPr>
          <w:rFonts w:hint="eastAsia" w:asciiTheme="minorEastAsia" w:hAnsiTheme="minorEastAsia" w:eastAsiaTheme="minorEastAsia" w:cstheme="minorEastAsia"/>
          <w:bCs/>
          <w:color w:val="auto"/>
          <w:sz w:val="24"/>
          <w:szCs w:val="24"/>
          <w:highlight w:val="none"/>
        </w:rPr>
        <w:t xml:space="preserve"> 投标文件的修改</w:t>
      </w:r>
    </w:p>
    <w:p w14:paraId="42B6140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20.2.1供应商可在投标截止时间前，对其电子投标文件进行修改，具体操作方法见《操作手册》。</w:t>
      </w:r>
    </w:p>
    <w:p w14:paraId="3A65E51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20.2.2在投标截止时间之后，供应商不得对其电子投标文件作任何修改。</w:t>
      </w:r>
    </w:p>
    <w:p w14:paraId="2E659A3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20.3在投标截止时间至招标文件中规定的投标有效期满之间的这段时间内，供应商不得撤回其投标。</w:t>
      </w:r>
    </w:p>
    <w:p w14:paraId="72842B2E">
      <w:pPr>
        <w:pStyle w:val="4"/>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bookmarkStart w:id="111" w:name="_Toc16938545"/>
      <w:bookmarkStart w:id="112" w:name="_Toc120614218"/>
      <w:bookmarkStart w:id="113" w:name="_Toc513029229"/>
      <w:bookmarkStart w:id="114" w:name="_Toc20823301"/>
      <w:r>
        <w:rPr>
          <w:rFonts w:hint="eastAsia" w:asciiTheme="minorEastAsia" w:hAnsiTheme="minorEastAsia" w:eastAsiaTheme="minorEastAsia" w:cstheme="minorEastAsia"/>
          <w:color w:val="auto"/>
          <w:sz w:val="24"/>
          <w:szCs w:val="24"/>
          <w:highlight w:val="none"/>
        </w:rPr>
        <w:t>五、开标与评标</w:t>
      </w:r>
      <w:bookmarkEnd w:id="111"/>
      <w:bookmarkEnd w:id="112"/>
      <w:bookmarkEnd w:id="113"/>
      <w:bookmarkEnd w:id="114"/>
    </w:p>
    <w:p w14:paraId="1B439DAD">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115" w:name="_Toc16938546"/>
      <w:bookmarkStart w:id="116" w:name="_Toc20823302"/>
      <w:bookmarkStart w:id="117" w:name="_Toc513029230"/>
      <w:r>
        <w:rPr>
          <w:rFonts w:hint="eastAsia" w:asciiTheme="minorEastAsia" w:hAnsiTheme="minorEastAsia" w:eastAsiaTheme="minorEastAsia" w:cstheme="minorEastAsia"/>
          <w:b w:val="0"/>
          <w:bCs w:val="0"/>
          <w:color w:val="auto"/>
          <w:sz w:val="24"/>
          <w:szCs w:val="24"/>
          <w:highlight w:val="none"/>
        </w:rPr>
        <w:t>21、开标</w:t>
      </w:r>
      <w:bookmarkEnd w:id="115"/>
      <w:bookmarkEnd w:id="116"/>
      <w:bookmarkEnd w:id="117"/>
    </w:p>
    <w:p w14:paraId="7D8B141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bidi="ar"/>
        </w:rPr>
        <w:t>采购代理机构将在招标公告中规定的时间和地点组织公开开标。供应商应当按照《操作手册》规定，参加开标活动和在苏采云系统规定的时间内对投标文件进行解密。</w:t>
      </w:r>
    </w:p>
    <w:p w14:paraId="33763CEC">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118" w:name="_Toc513029231"/>
      <w:bookmarkStart w:id="119" w:name="_Toc16938547"/>
      <w:bookmarkStart w:id="120" w:name="_Toc20823303"/>
      <w:r>
        <w:rPr>
          <w:rFonts w:hint="eastAsia" w:asciiTheme="minorEastAsia" w:hAnsiTheme="minorEastAsia" w:eastAsiaTheme="minorEastAsia" w:cstheme="minorEastAsia"/>
          <w:color w:val="auto"/>
          <w:sz w:val="24"/>
          <w:szCs w:val="24"/>
          <w:highlight w:val="none"/>
        </w:rPr>
        <w:t xml:space="preserve">  21.2</w:t>
      </w:r>
      <w:r>
        <w:rPr>
          <w:rFonts w:hint="eastAsia" w:asciiTheme="minorEastAsia" w:hAnsiTheme="minorEastAsia" w:eastAsiaTheme="minorEastAsia" w:cstheme="minorEastAsia"/>
          <w:color w:val="auto"/>
          <w:sz w:val="24"/>
          <w:szCs w:val="24"/>
          <w:highlight w:val="none"/>
          <w:lang w:bidi="ar"/>
        </w:rPr>
        <w:t>开标仪式由采购人及代理机构组织。苏采云系统将自动对项目进行开标，并宣布各供应商名称和投标价格。</w:t>
      </w:r>
    </w:p>
    <w:p w14:paraId="165A1565">
      <w:pPr>
        <w:pStyle w:val="15"/>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21.3</w:t>
      </w:r>
      <w:r>
        <w:rPr>
          <w:rFonts w:hint="eastAsia" w:asciiTheme="minorEastAsia" w:hAnsiTheme="minorEastAsia" w:eastAsiaTheme="minorEastAsia" w:cstheme="minorEastAsia"/>
          <w:color w:val="auto"/>
          <w:sz w:val="24"/>
          <w:szCs w:val="24"/>
          <w:highlight w:val="none"/>
          <w:lang w:bidi="ar"/>
        </w:rPr>
        <w:t>供应商在开标过程中涉及到的投标文件解密、开标结果确认等工作，应按照《操作手册》规定执行。</w:t>
      </w:r>
    </w:p>
    <w:p w14:paraId="79561FD8">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21.4</w:t>
      </w:r>
      <w:r>
        <w:rPr>
          <w:rFonts w:hint="eastAsia" w:asciiTheme="minorEastAsia" w:hAnsiTheme="minorEastAsia" w:eastAsiaTheme="minorEastAsia" w:cstheme="minorEastAsia"/>
          <w:color w:val="auto"/>
          <w:sz w:val="24"/>
          <w:szCs w:val="24"/>
          <w:highlight w:val="none"/>
          <w:lang w:bidi="ar"/>
        </w:rPr>
        <w:t>供应商如果对开标过程和开标记录有疑义，应当根据《操作手册》规定提出，如苏采云系统中《开标记录表》宣布后5分钟内未提出的，视同认可开标结果。</w:t>
      </w:r>
    </w:p>
    <w:p w14:paraId="7B03A600">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val="en-US" w:eastAsia="zh-CN"/>
        </w:rPr>
        <w:t>2</w:t>
      </w:r>
      <w:r>
        <w:rPr>
          <w:rFonts w:hint="eastAsia" w:asciiTheme="minorEastAsia" w:hAnsiTheme="minorEastAsia" w:eastAsiaTheme="minorEastAsia" w:cstheme="minorEastAsia"/>
          <w:b w:val="0"/>
          <w:bCs w:val="0"/>
          <w:color w:val="auto"/>
          <w:sz w:val="24"/>
          <w:szCs w:val="24"/>
          <w:highlight w:val="none"/>
        </w:rPr>
        <w:t>、评标委员会</w:t>
      </w:r>
    </w:p>
    <w:p w14:paraId="7851533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bidi="ar"/>
        </w:rPr>
        <w:t>22.1开标后，采购代理机构将立即组织评标委员会（以下简称评委会）进行评标。</w:t>
      </w:r>
    </w:p>
    <w:p w14:paraId="333E74B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22.2评委会由采购人代表和有关技术、经济等方面的专家组成，且人员构成符合政府采购有关规定。</w:t>
      </w:r>
    </w:p>
    <w:p w14:paraId="0FB99AB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22.3评委会独立工作，负责评审所有投标文件并确定中标</w:t>
      </w:r>
      <w:r>
        <w:rPr>
          <w:rFonts w:hint="eastAsia" w:asciiTheme="minorEastAsia" w:hAnsiTheme="minorEastAsia" w:eastAsiaTheme="minorEastAsia" w:cstheme="minorEastAsia"/>
          <w:color w:val="auto"/>
          <w:sz w:val="24"/>
          <w:szCs w:val="24"/>
          <w:highlight w:val="none"/>
          <w:lang w:eastAsia="zh-CN" w:bidi="ar"/>
        </w:rPr>
        <w:t>候选人</w:t>
      </w:r>
      <w:r>
        <w:rPr>
          <w:rFonts w:hint="eastAsia" w:asciiTheme="minorEastAsia" w:hAnsiTheme="minorEastAsia" w:eastAsiaTheme="minorEastAsia" w:cstheme="minorEastAsia"/>
          <w:color w:val="auto"/>
          <w:sz w:val="24"/>
          <w:szCs w:val="24"/>
          <w:highlight w:val="none"/>
          <w:lang w:bidi="ar"/>
        </w:rPr>
        <w:t>。</w:t>
      </w:r>
    </w:p>
    <w:p w14:paraId="74608D30">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rPr>
        <w:t>、评标过程的保密与公正</w:t>
      </w:r>
    </w:p>
    <w:bookmarkEnd w:id="118"/>
    <w:bookmarkEnd w:id="119"/>
    <w:bookmarkEnd w:id="120"/>
    <w:p w14:paraId="33F1F9FC">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23.1凡是与审查、澄清、评价和比较投标的有关资料以及授标建议等，采购人、评委、采购代理机构均不得向供应商或与评标无关的其他人员透露。</w:t>
      </w:r>
    </w:p>
    <w:p w14:paraId="13106C4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23.2在评标过程中，供应商不得以任何行为影响评标过程，否则其投标文件将被作为无效投标文件。</w:t>
      </w:r>
    </w:p>
    <w:p w14:paraId="1E80920F">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23.3采购代理机构和评标委员会不向未中标的供应商解释未中标原因，也不公布评标过程中的相关细节。</w:t>
      </w:r>
    </w:p>
    <w:p w14:paraId="4763D2C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rPr>
        <w:t>23.4采用综合评分法的项目，未中标的投标人可于中标结果公告期限届满之日起通过苏采云系统查看自己的评审得分及排序情况。</w:t>
      </w:r>
    </w:p>
    <w:p w14:paraId="5E1045F8">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p>
    <w:p w14:paraId="39097920">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121" w:name="_Toc16938548"/>
      <w:bookmarkStart w:id="122" w:name="_Toc20823304"/>
      <w:bookmarkStart w:id="123" w:name="_Toc513029232"/>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val="en-US" w:eastAsia="zh-CN"/>
        </w:rPr>
        <w:t>4</w:t>
      </w:r>
      <w:r>
        <w:rPr>
          <w:rFonts w:hint="eastAsia" w:asciiTheme="minorEastAsia" w:hAnsiTheme="minorEastAsia" w:eastAsiaTheme="minorEastAsia" w:cstheme="minorEastAsia"/>
          <w:b w:val="0"/>
          <w:bCs w:val="0"/>
          <w:color w:val="auto"/>
          <w:sz w:val="24"/>
          <w:szCs w:val="24"/>
          <w:highlight w:val="none"/>
        </w:rPr>
        <w:t>、投标</w:t>
      </w:r>
      <w:r>
        <w:rPr>
          <w:rFonts w:hint="eastAsia" w:asciiTheme="minorEastAsia" w:hAnsiTheme="minorEastAsia" w:eastAsiaTheme="minorEastAsia" w:cstheme="minorEastAsia"/>
          <w:b w:val="0"/>
          <w:bCs w:val="0"/>
          <w:color w:val="auto"/>
          <w:sz w:val="24"/>
          <w:szCs w:val="24"/>
          <w:highlight w:val="none"/>
          <w:lang w:val="en-US" w:eastAsia="zh-CN"/>
        </w:rPr>
        <w:t>文件</w:t>
      </w:r>
      <w:r>
        <w:rPr>
          <w:rFonts w:hint="eastAsia" w:asciiTheme="minorEastAsia" w:hAnsiTheme="minorEastAsia" w:eastAsiaTheme="minorEastAsia" w:cstheme="minorEastAsia"/>
          <w:b w:val="0"/>
          <w:bCs w:val="0"/>
          <w:color w:val="auto"/>
          <w:sz w:val="24"/>
          <w:szCs w:val="24"/>
          <w:highlight w:val="none"/>
        </w:rPr>
        <w:t>的澄清</w:t>
      </w:r>
      <w:bookmarkEnd w:id="121"/>
      <w:bookmarkEnd w:id="122"/>
      <w:bookmarkEnd w:id="123"/>
    </w:p>
    <w:p w14:paraId="56C0645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24.1评标期间，评委会对投标文件中含义不明确、同类问题表述不一致或者有明显文字和计算错误的内容 ，有权要求供应商作出必要的澄清、说明或者补正。</w:t>
      </w:r>
    </w:p>
    <w:p w14:paraId="4899491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投标人的澄清、说明或者补正不得超出投标文件的范围或者改变投标文件的实质性内容。</w:t>
      </w:r>
    </w:p>
    <w:p w14:paraId="121BDCE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评标委员会并非对每个供应商都做澄清要求。</w:t>
      </w:r>
    </w:p>
    <w:p w14:paraId="33650CCF">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p>
    <w:p w14:paraId="23F2688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24.3接到评委会澄清、说明和补正要求的供应商如未按规定</w:t>
      </w:r>
      <w:r>
        <w:rPr>
          <w:rFonts w:hint="eastAsia" w:asciiTheme="minorEastAsia" w:hAnsiTheme="minorEastAsia" w:eastAsiaTheme="minorEastAsia" w:cstheme="minorEastAsia"/>
          <w:color w:val="auto"/>
          <w:sz w:val="24"/>
          <w:szCs w:val="24"/>
          <w:highlight w:val="none"/>
          <w:lang w:eastAsia="zh-CN" w:bidi="ar"/>
        </w:rPr>
        <w:t>作出</w:t>
      </w:r>
      <w:r>
        <w:rPr>
          <w:rFonts w:hint="eastAsia" w:asciiTheme="minorEastAsia" w:hAnsiTheme="minorEastAsia" w:eastAsiaTheme="minorEastAsia" w:cstheme="minorEastAsia"/>
          <w:color w:val="auto"/>
          <w:sz w:val="24"/>
          <w:szCs w:val="24"/>
          <w:highlight w:val="none"/>
          <w:lang w:bidi="ar"/>
        </w:rPr>
        <w:t>澄清、说明和补正，其风险由供应商自行承担。</w:t>
      </w:r>
    </w:p>
    <w:p w14:paraId="5B62FA74">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124" w:name="_Toc16938549"/>
      <w:bookmarkStart w:id="125" w:name="_Toc20823305"/>
      <w:bookmarkStart w:id="126" w:name="_Toc513029233"/>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rPr>
        <w:t>、对投标文件的</w:t>
      </w:r>
      <w:r>
        <w:rPr>
          <w:rFonts w:hint="eastAsia" w:asciiTheme="minorEastAsia" w:hAnsiTheme="minorEastAsia" w:eastAsiaTheme="minorEastAsia" w:cstheme="minorEastAsia"/>
          <w:b w:val="0"/>
          <w:bCs w:val="0"/>
          <w:color w:val="auto"/>
          <w:sz w:val="24"/>
          <w:szCs w:val="24"/>
          <w:highlight w:val="none"/>
          <w:lang w:val="en-US" w:eastAsia="zh-CN"/>
        </w:rPr>
        <w:t>初</w:t>
      </w:r>
      <w:r>
        <w:rPr>
          <w:rFonts w:hint="eastAsia" w:asciiTheme="minorEastAsia" w:hAnsiTheme="minorEastAsia" w:eastAsiaTheme="minorEastAsia" w:cstheme="minorEastAsia"/>
          <w:b w:val="0"/>
          <w:bCs w:val="0"/>
          <w:color w:val="auto"/>
          <w:sz w:val="24"/>
          <w:szCs w:val="24"/>
          <w:highlight w:val="none"/>
        </w:rPr>
        <w:t>审</w:t>
      </w:r>
      <w:bookmarkEnd w:id="124"/>
      <w:bookmarkEnd w:id="125"/>
      <w:bookmarkEnd w:id="126"/>
    </w:p>
    <w:p w14:paraId="7E02359C">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25.1投标文件初审分为资格审查和符合性审查。</w:t>
      </w:r>
    </w:p>
    <w:p w14:paraId="7442699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25.1.1资格审查：依据法律法规和招标文件的规定，由采购人对投标文件中的资格证明文件进行审查。资格审查的结论，采购人以书面形式向评委会进行反馈。</w:t>
      </w:r>
    </w:p>
    <w:p w14:paraId="436A6B7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采购人在进行资格性审查的同时，将在“信用中国”网站（www.creditchina.gov.cn）查询供应商的信用记录，以确定供应商是否具备投标资格,查询结果留存并归档。</w:t>
      </w:r>
    </w:p>
    <w:p w14:paraId="5CF1D24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接受联合体的项目，两个以上的自然人、法人或者其他组织组成一个联合体，以一个供应商的身份共同参加政府采购活动的,联合体成员存在不良信用记录的，视同联合体存在不良应用记录。</w:t>
      </w:r>
    </w:p>
    <w:p w14:paraId="6B7E16CE">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25.1.2符合性审查：依据招标文件的规定，由评委会从投标文件的有效性、完整性和对招标文件的响应程度进行审查，以确定是否对招标文件的实质性要求作出响应。</w:t>
      </w:r>
    </w:p>
    <w:p w14:paraId="1C28AC93">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25.1.3未通过资格审查或符合性审查的供应商，采购人及代理机构将在苏采云系统中告知未通过资格审查或符合性审查的原因，评标结束后，采购代理机构将不再告知未通过资格审查和符合性审查的原因。</w:t>
      </w:r>
    </w:p>
    <w:p w14:paraId="45398BC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25.2在详细评标之前，评委会将首先审查每份投标文件是否实质性响应了招标文件的要求。实质性响应的投标应该是与招标文件要求的全部条款、条件和规格相符，没有重大偏离或保留的投标。</w:t>
      </w:r>
    </w:p>
    <w:p w14:paraId="3119E06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47B7BA2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25.3如果投标文件实质上没有响应招标文件的要求，评委会将予以拒绝，供应商不得通过修改或撤销</w:t>
      </w:r>
      <w:r>
        <w:rPr>
          <w:rFonts w:hint="eastAsia" w:asciiTheme="minorEastAsia" w:hAnsiTheme="minorEastAsia" w:eastAsiaTheme="minorEastAsia" w:cstheme="minorEastAsia"/>
          <w:color w:val="auto"/>
          <w:sz w:val="24"/>
          <w:szCs w:val="24"/>
          <w:highlight w:val="none"/>
          <w:lang w:eastAsia="zh-CN" w:bidi="ar"/>
        </w:rPr>
        <w:t>不符</w:t>
      </w:r>
      <w:r>
        <w:rPr>
          <w:rFonts w:hint="eastAsia" w:asciiTheme="minorEastAsia" w:hAnsiTheme="minorEastAsia" w:eastAsiaTheme="minorEastAsia" w:cstheme="minorEastAsia"/>
          <w:color w:val="auto"/>
          <w:sz w:val="24"/>
          <w:szCs w:val="24"/>
          <w:highlight w:val="none"/>
          <w:lang w:bidi="ar"/>
        </w:rPr>
        <w:t>合要求的偏离或保留而使其投标成为实质性响应的投标。</w:t>
      </w:r>
    </w:p>
    <w:p w14:paraId="1E3D7F3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25.4评委会将对确定为实质性响应的投标进行进一步审核，确定其是否有计算上或累加上的算术错误，修正错误的原则如下：</w:t>
      </w:r>
    </w:p>
    <w:p w14:paraId="3AB7DF08">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（1）投标文件中开标一览表内容与投标文件中相应内容不一致的，以开标一览表为准。</w:t>
      </w:r>
    </w:p>
    <w:p w14:paraId="35F8E90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（2）大写金额和小写金额不一致的，以大写金额为准。</w:t>
      </w:r>
    </w:p>
    <w:p w14:paraId="75686E2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（3）单价金额小数点或者百分比有明显错位的，以开标一览表的总价为准，并修改单价。</w:t>
      </w:r>
    </w:p>
    <w:p w14:paraId="6B99A92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（4）总价金额与按单价汇总金额不一致的，以单价金额计算结果为准。</w:t>
      </w:r>
    </w:p>
    <w:p w14:paraId="66D11213">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同时出现两种以上错误的，按照前款规定的顺序修正。</w:t>
      </w:r>
    </w:p>
    <w:p w14:paraId="45E610C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25.5评委会将按上述修正错误的方法调整投标文件中的投标报价，并通过苏采云系统告知供应商，调整后的价格应对供应商具有约束力。如果供应商不接受修正后的价格，则其投标将被拒绝。</w:t>
      </w:r>
    </w:p>
    <w:p w14:paraId="05D8963C">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25.6供应商在开、评标全过程中应保持通讯畅通，及时登录苏采云系统查阅、答复相关信息，并安排专人与采购代理机构及评标委员会联系。</w:t>
      </w:r>
    </w:p>
    <w:p w14:paraId="101D9627">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bookmarkStart w:id="127" w:name="_Toc16938550"/>
      <w:bookmarkStart w:id="128" w:name="_Toc513029234"/>
      <w:bookmarkStart w:id="129" w:name="_Toc20823306"/>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w:t>
      </w:r>
      <w:bookmarkEnd w:id="127"/>
      <w:bookmarkEnd w:id="128"/>
      <w:bookmarkEnd w:id="129"/>
      <w:r>
        <w:rPr>
          <w:rFonts w:hint="eastAsia" w:asciiTheme="minorEastAsia" w:hAnsiTheme="minorEastAsia" w:eastAsiaTheme="minorEastAsia" w:cstheme="minorEastAsia"/>
          <w:b w:val="0"/>
          <w:bCs w:val="0"/>
          <w:color w:val="auto"/>
          <w:sz w:val="24"/>
          <w:szCs w:val="24"/>
          <w:highlight w:val="none"/>
        </w:rPr>
        <w:t>无效投标条款和废标条款</w:t>
      </w:r>
    </w:p>
    <w:p w14:paraId="6C1EA6D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bookmarkStart w:id="130" w:name="_Toc20823307"/>
      <w:bookmarkStart w:id="131" w:name="_Toc513029235"/>
      <w:bookmarkStart w:id="132" w:name="_Toc16938551"/>
      <w:bookmarkStart w:id="133" w:name="_Toc120614219"/>
      <w:r>
        <w:rPr>
          <w:rFonts w:hint="eastAsia" w:asciiTheme="minorEastAsia" w:hAnsiTheme="minorEastAsia" w:eastAsiaTheme="minorEastAsia" w:cstheme="minorEastAsia"/>
          <w:color w:val="auto"/>
          <w:sz w:val="24"/>
          <w:szCs w:val="24"/>
          <w:highlight w:val="none"/>
          <w:lang w:bidi="ar"/>
        </w:rPr>
        <w:t>26.1无效投标条款</w:t>
      </w:r>
    </w:p>
    <w:p w14:paraId="7984170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26.1.1 投标人在苏采云系统规定的时间内未成功解密电子投标文件的。</w:t>
      </w:r>
    </w:p>
    <w:p w14:paraId="7FB2888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26.1.2 投标人未按照招标文件要求上传电子投标文件的。</w:t>
      </w:r>
    </w:p>
    <w:p w14:paraId="68A9833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26.1.3同一投标人提交两个（含两个）以上不同的投标报价的。</w:t>
      </w:r>
    </w:p>
    <w:p w14:paraId="070494C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26.1.4投标人不具备招标文件中规定资格要求的。</w:t>
      </w:r>
    </w:p>
    <w:p w14:paraId="35A3A34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26.1.5投标人的报价超过了采购预算或最高限价的。</w:t>
      </w:r>
    </w:p>
    <w:p w14:paraId="069C8A0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26.1.6未通过符合性审查的。</w:t>
      </w:r>
    </w:p>
    <w:p w14:paraId="72B1ECAF">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26.1.7不符合招标文件中规定的实质性要求和条件的</w:t>
      </w:r>
      <w:r>
        <w:rPr>
          <w:rFonts w:hint="eastAsia" w:asciiTheme="minorEastAsia" w:hAnsiTheme="minorEastAsia" w:eastAsiaTheme="minorEastAsia" w:cstheme="minorEastAsia"/>
          <w:i/>
          <w:color w:val="auto"/>
          <w:sz w:val="24"/>
          <w:szCs w:val="24"/>
          <w:highlight w:val="none"/>
          <w:u w:val="single"/>
          <w:lang w:val="en-US" w:eastAsia="zh-CN" w:bidi="ar-SA"/>
        </w:rPr>
        <w:t>（本招标文件中斜体且有下划线部分为实质性要求和条件）</w:t>
      </w:r>
      <w:r>
        <w:rPr>
          <w:rFonts w:hint="eastAsia" w:asciiTheme="minorEastAsia" w:hAnsiTheme="minorEastAsia" w:eastAsiaTheme="minorEastAsia" w:cstheme="minorEastAsia"/>
          <w:color w:val="auto"/>
          <w:sz w:val="24"/>
          <w:szCs w:val="24"/>
          <w:highlight w:val="none"/>
          <w:lang w:bidi="ar"/>
        </w:rPr>
        <w:t>。</w:t>
      </w:r>
    </w:p>
    <w:p w14:paraId="45732C3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C4F9BC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26.1.9投标文件含有采购人不能接受的附加条件的。</w:t>
      </w:r>
    </w:p>
    <w:p w14:paraId="3C14155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26.1.10投标人不能证明其报价合理性的，评标委员会应当将其作为无效投标处理。</w:t>
      </w:r>
    </w:p>
    <w:p w14:paraId="1BE9CBA3">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（一）评审过程中出现下列情形之一的，评标委员会应当启动异常低价投标审查程序：</w:t>
      </w:r>
    </w:p>
    <w:p w14:paraId="6AF170D4">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1.投标（响应）报价低于全部通过符合性审查供应商投标（响应）报价平均值50%的，即投标（响应）报价&lt;全部通过符合性审查供应商投标（响应）报价平均值×50%；</w:t>
      </w:r>
    </w:p>
    <w:p w14:paraId="580398DD">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2.投标（响应）报价低于通过符合性审查的次低报价供应商投标（响应）报价50%的，即投标（响应）报价&lt;通过符合性审查的次低报价供应商投标（响应）报价×50%；</w:t>
      </w:r>
    </w:p>
    <w:p w14:paraId="4CEB4FC9">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3.投标（响应）报价低于采购项目最高限价45%的，即投标（响应）报价&lt;采购项目最高限价×45%；</w:t>
      </w:r>
    </w:p>
    <w:p w14:paraId="5F82A124">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4.评审委员会基于专业判断，认为供应商报价过低，有可能影响产品质量或者不能诚信履约的其他情形。</w:t>
      </w:r>
    </w:p>
    <w:p w14:paraId="61393010">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提醒：采购人可以结合具体项目实际情况，提高上述第1项至第3项中启动异常低价投标（响应）审查的数值标准，但是最高不得超过65%。</w:t>
      </w:r>
    </w:p>
    <w:p w14:paraId="5EA08893">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相关法律法规对供应商报价有规定的，从其规定。</w:t>
      </w:r>
    </w:p>
    <w:p w14:paraId="7EA727B4">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A95F890">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6D8404C">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04EDC8">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lang w:bidi="ar"/>
        </w:rPr>
      </w:pPr>
      <w:r>
        <w:rPr>
          <w:rFonts w:hint="eastAsia" w:asciiTheme="minorEastAsia" w:hAnsiTheme="minorEastAsia" w:eastAsiaTheme="minorEastAsia" w:cstheme="minorEastAsia"/>
          <w:b/>
          <w:bCs/>
          <w:color w:val="auto"/>
          <w:sz w:val="24"/>
          <w:szCs w:val="24"/>
          <w:highlight w:val="none"/>
          <w:lang w:bidi="ar"/>
        </w:rPr>
        <w:t>异常低价投标（响应）审查的启动原因、审查意见和审查结果应当在评审报告中记录，并随供应商提供的相关书面说明及证明材料，以及评审委员会有关互联网浏览、查询历史一并归档。</w:t>
      </w:r>
    </w:p>
    <w:p w14:paraId="7BF3DD9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26.1.11 投标文件未按照招标文件要求加盖CA电子公章的。</w:t>
      </w:r>
    </w:p>
    <w:p w14:paraId="4416F5A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26.1.12 其他法律、法规及本招标文件规定的属无效投标的情形。</w:t>
      </w:r>
    </w:p>
    <w:p w14:paraId="102654A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26.2废标条款</w:t>
      </w:r>
    </w:p>
    <w:p w14:paraId="3CC095A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26.2.1符合专业条件的供应商或者对招标文件作实质响应的供应商不足三家的。</w:t>
      </w:r>
    </w:p>
    <w:p w14:paraId="2CFA03FF">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26.2.2出现影响采购公正的违法、违规行为的。</w:t>
      </w:r>
    </w:p>
    <w:p w14:paraId="69A0206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26.2.3因重大变故，采购任务取消的。</w:t>
      </w:r>
    </w:p>
    <w:p w14:paraId="53A21DC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26.2.4评标委员会认定招标文件存在歧义、重大缺陷导致评审工作无法进行。</w:t>
      </w:r>
    </w:p>
    <w:p w14:paraId="03302714">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26.2.5因苏采云系统故障原因造成开标不成功的。</w:t>
      </w:r>
    </w:p>
    <w:p w14:paraId="3A2A29B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26.3 投标截止时间结束后参加投标的供应商不足三家的处理：</w:t>
      </w:r>
    </w:p>
    <w:p w14:paraId="0FC42FB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26.3.1如出现投标截止时间结束后参加投标的供应商或者在评标期间对招标文件做出实质响应的供应商不足三家情况，按政府采购相关规定执行。</w:t>
      </w:r>
    </w:p>
    <w:p w14:paraId="606953B8">
      <w:pPr>
        <w:pStyle w:val="4"/>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w:t>
      </w:r>
      <w:bookmarkEnd w:id="130"/>
      <w:bookmarkEnd w:id="131"/>
      <w:bookmarkEnd w:id="132"/>
      <w:r>
        <w:rPr>
          <w:rFonts w:hint="eastAsia" w:asciiTheme="minorEastAsia" w:hAnsiTheme="minorEastAsia" w:eastAsiaTheme="minorEastAsia" w:cstheme="minorEastAsia"/>
          <w:color w:val="auto"/>
          <w:sz w:val="24"/>
          <w:szCs w:val="24"/>
          <w:highlight w:val="none"/>
        </w:rPr>
        <w:t>定标</w:t>
      </w:r>
      <w:bookmarkEnd w:id="133"/>
    </w:p>
    <w:p w14:paraId="4C480783">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color w:val="auto"/>
          <w:sz w:val="24"/>
          <w:szCs w:val="24"/>
          <w:highlight w:val="none"/>
        </w:rPr>
      </w:pPr>
      <w:bookmarkStart w:id="134" w:name="_Toc513029238"/>
      <w:bookmarkStart w:id="135" w:name="_Toc16938554"/>
      <w:bookmarkStart w:id="136" w:name="_Toc20823310"/>
      <w:r>
        <w:rPr>
          <w:rFonts w:hint="eastAsia" w:asciiTheme="minorEastAsia" w:hAnsiTheme="minorEastAsia" w:eastAsiaTheme="minorEastAsia" w:cstheme="minorEastAsia"/>
          <w:b w:val="0"/>
          <w:color w:val="auto"/>
          <w:sz w:val="24"/>
          <w:szCs w:val="24"/>
          <w:highlight w:val="none"/>
        </w:rPr>
        <w:t>2</w:t>
      </w:r>
      <w:r>
        <w:rPr>
          <w:rFonts w:hint="eastAsia" w:asciiTheme="minorEastAsia" w:hAnsiTheme="minorEastAsia" w:eastAsiaTheme="minorEastAsia" w:cstheme="minorEastAsia"/>
          <w:b w:val="0"/>
          <w:color w:val="auto"/>
          <w:sz w:val="24"/>
          <w:szCs w:val="24"/>
          <w:highlight w:val="none"/>
          <w:lang w:val="en-US" w:eastAsia="zh-CN"/>
        </w:rPr>
        <w:t>7</w:t>
      </w:r>
      <w:r>
        <w:rPr>
          <w:rFonts w:hint="eastAsia" w:asciiTheme="minorEastAsia" w:hAnsiTheme="minorEastAsia" w:eastAsiaTheme="minorEastAsia" w:cstheme="minorEastAsia"/>
          <w:b w:val="0"/>
          <w:color w:val="auto"/>
          <w:sz w:val="24"/>
          <w:szCs w:val="24"/>
          <w:highlight w:val="none"/>
        </w:rPr>
        <w:t>、</w:t>
      </w:r>
      <w:bookmarkEnd w:id="134"/>
      <w:r>
        <w:rPr>
          <w:rFonts w:hint="eastAsia" w:asciiTheme="minorEastAsia" w:hAnsiTheme="minorEastAsia" w:eastAsiaTheme="minorEastAsia" w:cstheme="minorEastAsia"/>
          <w:b w:val="0"/>
          <w:color w:val="auto"/>
          <w:sz w:val="24"/>
          <w:szCs w:val="24"/>
          <w:highlight w:val="none"/>
        </w:rPr>
        <w:t>确定</w:t>
      </w:r>
      <w:bookmarkEnd w:id="135"/>
      <w:bookmarkEnd w:id="136"/>
      <w:r>
        <w:rPr>
          <w:rFonts w:hint="eastAsia" w:asciiTheme="minorEastAsia" w:hAnsiTheme="minorEastAsia" w:eastAsiaTheme="minorEastAsia" w:cstheme="minorEastAsia"/>
          <w:b w:val="0"/>
          <w:color w:val="auto"/>
          <w:sz w:val="24"/>
          <w:szCs w:val="24"/>
          <w:highlight w:val="none"/>
        </w:rPr>
        <w:t>中标单位</w:t>
      </w:r>
    </w:p>
    <w:p w14:paraId="682142E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bookmarkStart w:id="137" w:name="_Toc200451960"/>
      <w:r>
        <w:rPr>
          <w:rFonts w:hint="eastAsia" w:asciiTheme="minorEastAsia" w:hAnsiTheme="minorEastAsia" w:eastAsiaTheme="minorEastAsia" w:cstheme="minorEastAsia"/>
          <w:color w:val="auto"/>
          <w:sz w:val="24"/>
          <w:szCs w:val="24"/>
          <w:highlight w:val="none"/>
          <w:lang w:bidi="ar"/>
        </w:rPr>
        <w:t xml:space="preserve">27.1中标候选人的选取原则和数量见招标文件第五章规定。 </w:t>
      </w:r>
    </w:p>
    <w:p w14:paraId="790C4C3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27.2采购人应根据评委会推荐的中标候选人确定中标人。</w:t>
      </w:r>
    </w:p>
    <w:p w14:paraId="37157AFE">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27.3采购代理机构将在“中国政府采购网”、“江苏政府采购网”、“盐城市政府采购网”发布中标公告，公告期限为1个工作日。</w:t>
      </w:r>
    </w:p>
    <w:p w14:paraId="51DE73E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27.4若有充分证据证明，中标人出现下列情况之一的，一经查实，将被取消中标资格：</w:t>
      </w:r>
    </w:p>
    <w:p w14:paraId="5FF4F48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27.4.1提供虚假材料谋取中标的。</w:t>
      </w:r>
    </w:p>
    <w:p w14:paraId="0A580D6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27.4.2向采购人、采购代理机构行贿或者提供其他不正当利益的。</w:t>
      </w:r>
    </w:p>
    <w:p w14:paraId="72503AE8">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27.4.3属于本文件规定的无效条件，但在评标过程中又未被评委会发现的。</w:t>
      </w:r>
    </w:p>
    <w:p w14:paraId="1AAAEDEE">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27.4.4与采购人或者其他供应商恶意串通的。</w:t>
      </w:r>
    </w:p>
    <w:p w14:paraId="4CA1203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27.4.5采取不正当手段诋毁、排挤其他供应商的。</w:t>
      </w:r>
    </w:p>
    <w:p w14:paraId="03FF9758">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27.5 有下列情形之一的，视为供应商串通投标，投标无效：</w:t>
      </w:r>
    </w:p>
    <w:p w14:paraId="080C27A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27.5.1不同供应商的投标文件由同一单位或者个人编制。</w:t>
      </w:r>
    </w:p>
    <w:p w14:paraId="4A54A68E">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27.5.2不同供应商委托同一单位或者个人办理投标事宜。</w:t>
      </w:r>
    </w:p>
    <w:p w14:paraId="749600D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27.5.3不同供应商的投标文件载明的项目管理成员或者联系人员为同一人。</w:t>
      </w:r>
    </w:p>
    <w:p w14:paraId="7B7BF004">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27.5.4不同供应商的投标文件异常一致或者投标报价呈规律性差异。</w:t>
      </w:r>
    </w:p>
    <w:p w14:paraId="62F613CF">
      <w:pPr>
        <w:pStyle w:val="6"/>
        <w:pageBreakBefore w:val="0"/>
        <w:tabs>
          <w:tab w:val="left" w:pos="4120"/>
        </w:tabs>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2</w:t>
      </w:r>
      <w:r>
        <w:rPr>
          <w:rFonts w:hint="eastAsia" w:asciiTheme="minorEastAsia" w:hAnsiTheme="minorEastAsia" w:eastAsiaTheme="minorEastAsia" w:cstheme="minorEastAsia"/>
          <w:b w:val="0"/>
          <w:color w:val="auto"/>
          <w:sz w:val="24"/>
          <w:szCs w:val="24"/>
          <w:highlight w:val="none"/>
          <w:lang w:val="en-US" w:eastAsia="zh-CN"/>
        </w:rPr>
        <w:t>8</w:t>
      </w:r>
      <w:r>
        <w:rPr>
          <w:rFonts w:hint="eastAsia" w:asciiTheme="minorEastAsia" w:hAnsiTheme="minorEastAsia" w:eastAsiaTheme="minorEastAsia" w:cstheme="minorEastAsia"/>
          <w:b w:val="0"/>
          <w:color w:val="auto"/>
          <w:sz w:val="24"/>
          <w:szCs w:val="24"/>
          <w:highlight w:val="none"/>
        </w:rPr>
        <w:t>、质疑处理</w:t>
      </w:r>
      <w:bookmarkEnd w:id="137"/>
      <w:r>
        <w:rPr>
          <w:rFonts w:hint="eastAsia" w:asciiTheme="minorEastAsia" w:hAnsiTheme="minorEastAsia" w:eastAsiaTheme="minorEastAsia" w:cstheme="minorEastAsia"/>
          <w:b w:val="0"/>
          <w:color w:val="auto"/>
          <w:sz w:val="24"/>
          <w:szCs w:val="24"/>
          <w:highlight w:val="none"/>
        </w:rPr>
        <w:tab/>
      </w:r>
    </w:p>
    <w:p w14:paraId="43B6E688">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28.1提出质疑的供应商应当是参与所质疑项目采购活动的供应商。潜在供应商依法获取其可质疑的招标文件的，可以对招标文件提出质疑。</w:t>
      </w:r>
    </w:p>
    <w:p w14:paraId="205D934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3124254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28.2.1对可以质疑的招标文件提出质疑的，为收到招标文件之日或者招标文件公告期限届满之日；</w:t>
      </w:r>
    </w:p>
    <w:p w14:paraId="354EC1C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28.2.2对采购过程提出质疑的，为各采购程序环节结束之日；</w:t>
      </w:r>
    </w:p>
    <w:p w14:paraId="2693B02F">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28.2.3对中标或者成交结果提出质疑的，为中标或者成交结果公告期限届满之日。</w:t>
      </w:r>
    </w:p>
    <w:p w14:paraId="3500DAD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供应商应当在法定质疑期内一次性提出针对同一采购程序环节的质疑。供应商如在法定期限内对同一采购程序环节提出多次质疑的，采购代理机构、采购人将只对供应商第一次质疑作出答复。</w:t>
      </w:r>
    </w:p>
    <w:p w14:paraId="45F7605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28.3质疑函必须按照本招标文件中《质疑函范本》要求的格式和内容进行填写。供应商如组成联合体参加投标，则《质疑函范本》中要求签字、盖章、加盖公章之处，联合体各方均须按要求签字、盖章、加盖公章。</w:t>
      </w:r>
    </w:p>
    <w:p w14:paraId="21CF543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44451EC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采购代理机构及采购人只接收以纸质原件形式送达的质疑,采购人和采购代理机构不接受未填写快递运单的快件。质疑接收部门为采购人，联系地址及联系电话见招标公告。</w:t>
      </w:r>
    </w:p>
    <w:p w14:paraId="7889FC2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28.5 以下情形的质疑不予受理</w:t>
      </w:r>
    </w:p>
    <w:p w14:paraId="34C5B67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28.5.1内容不符合《政府采购质疑和投诉办法》第十二条规定的质疑。</w:t>
      </w:r>
    </w:p>
    <w:p w14:paraId="65941D1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28.5.2超出政府采购法定期限的质疑。</w:t>
      </w:r>
    </w:p>
    <w:p w14:paraId="4D0B31E3">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28.5.3以传真、电子邮件等方式递交的非原件形式的质疑。</w:t>
      </w:r>
    </w:p>
    <w:p w14:paraId="745C9D03">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28.5.4未参加投标活动的供应商或在投标活动中自身权益未受到损害的供应商所提出的质疑。</w:t>
      </w:r>
    </w:p>
    <w:p w14:paraId="2D44994E">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28.5.5供应商组成联合体参加投标，联合体中任何一方或多方未按要求签字、盖章、加盖公章的质疑。</w:t>
      </w:r>
    </w:p>
    <w:p w14:paraId="6F3CD56C">
      <w:pPr>
        <w:pageBreakBefore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B31283D">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lang w:val="en-US" w:eastAsia="zh-CN"/>
        </w:rPr>
        <w:t>29</w:t>
      </w:r>
      <w:r>
        <w:rPr>
          <w:rFonts w:hint="eastAsia" w:asciiTheme="minorEastAsia" w:hAnsiTheme="minorEastAsia" w:eastAsiaTheme="minorEastAsia" w:cstheme="minorEastAsia"/>
          <w:b w:val="0"/>
          <w:color w:val="auto"/>
          <w:sz w:val="24"/>
          <w:szCs w:val="24"/>
          <w:highlight w:val="none"/>
        </w:rPr>
        <w:t>、中标通知书</w:t>
      </w:r>
    </w:p>
    <w:p w14:paraId="3412841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29.l中标结果确定后，</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59865DC">
      <w:pPr>
        <w:pageBreakBefore w:val="0"/>
        <w:kinsoku/>
        <w:wordWrap/>
        <w:overflowPunct/>
        <w:topLinePunct w:val="0"/>
        <w:bidi w:val="0"/>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747A9667">
      <w:pPr>
        <w:pStyle w:val="4"/>
        <w:pageBreakBefore w:val="0"/>
        <w:kinsoku/>
        <w:wordWrap/>
        <w:overflowPunct/>
        <w:topLinePunct w:val="0"/>
        <w:bidi w:val="0"/>
        <w:spacing w:before="0" w:after="0" w:line="360" w:lineRule="auto"/>
        <w:ind w:firstLine="482" w:firstLineChars="200"/>
        <w:textAlignment w:val="auto"/>
        <w:rPr>
          <w:rFonts w:hint="eastAsia" w:asciiTheme="minorEastAsia" w:hAnsiTheme="minorEastAsia" w:eastAsiaTheme="minorEastAsia" w:cstheme="minorEastAsia"/>
          <w:color w:val="auto"/>
          <w:sz w:val="24"/>
          <w:szCs w:val="24"/>
          <w:highlight w:val="none"/>
        </w:rPr>
      </w:pPr>
      <w:bookmarkStart w:id="138" w:name="_Toc120614220"/>
      <w:bookmarkStart w:id="139" w:name="_Toc20823308"/>
      <w:bookmarkStart w:id="140" w:name="_Toc513029236"/>
      <w:bookmarkStart w:id="141" w:name="_Toc16938552"/>
      <w:r>
        <w:rPr>
          <w:rFonts w:hint="eastAsia" w:asciiTheme="minorEastAsia" w:hAnsiTheme="minorEastAsia" w:eastAsiaTheme="minorEastAsia" w:cstheme="minorEastAsia"/>
          <w:color w:val="auto"/>
          <w:sz w:val="24"/>
          <w:szCs w:val="24"/>
          <w:highlight w:val="none"/>
        </w:rPr>
        <w:t>七、</w:t>
      </w:r>
      <w:bookmarkEnd w:id="138"/>
      <w:r>
        <w:rPr>
          <w:rFonts w:hint="eastAsia" w:asciiTheme="minorEastAsia" w:hAnsiTheme="minorEastAsia" w:eastAsiaTheme="minorEastAsia" w:cstheme="minorEastAsia"/>
          <w:color w:val="auto"/>
          <w:sz w:val="24"/>
          <w:szCs w:val="24"/>
          <w:highlight w:val="none"/>
        </w:rPr>
        <w:t>授予合同</w:t>
      </w:r>
    </w:p>
    <w:bookmarkEnd w:id="139"/>
    <w:bookmarkEnd w:id="140"/>
    <w:bookmarkEnd w:id="141"/>
    <w:p w14:paraId="4C84F5A9">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color w:val="auto"/>
          <w:sz w:val="24"/>
          <w:szCs w:val="24"/>
          <w:highlight w:val="none"/>
        </w:rPr>
      </w:pPr>
      <w:bookmarkStart w:id="142" w:name="_Toc20823309"/>
      <w:bookmarkStart w:id="143" w:name="_Toc16938553"/>
      <w:bookmarkStart w:id="144" w:name="_Toc513029237"/>
      <w:r>
        <w:rPr>
          <w:rFonts w:hint="eastAsia" w:asciiTheme="minorEastAsia" w:hAnsiTheme="minorEastAsia" w:eastAsiaTheme="minorEastAsia" w:cstheme="minorEastAsia"/>
          <w:b w:val="0"/>
          <w:color w:val="auto"/>
          <w:sz w:val="24"/>
          <w:szCs w:val="24"/>
          <w:highlight w:val="none"/>
        </w:rPr>
        <w:t>3</w:t>
      </w:r>
      <w:r>
        <w:rPr>
          <w:rFonts w:hint="eastAsia" w:asciiTheme="minorEastAsia" w:hAnsiTheme="minorEastAsia" w:eastAsiaTheme="minorEastAsia" w:cstheme="minorEastAsia"/>
          <w:b w:val="0"/>
          <w:color w:val="auto"/>
          <w:sz w:val="24"/>
          <w:szCs w:val="24"/>
          <w:highlight w:val="none"/>
          <w:lang w:val="en-US" w:eastAsia="zh-CN"/>
        </w:rPr>
        <w:t>0</w:t>
      </w:r>
      <w:r>
        <w:rPr>
          <w:rFonts w:hint="eastAsia" w:asciiTheme="minorEastAsia" w:hAnsiTheme="minorEastAsia" w:eastAsiaTheme="minorEastAsia" w:cstheme="minorEastAsia"/>
          <w:b w:val="0"/>
          <w:color w:val="auto"/>
          <w:sz w:val="24"/>
          <w:szCs w:val="24"/>
          <w:highlight w:val="none"/>
        </w:rPr>
        <w:t>. 签订合同</w:t>
      </w:r>
    </w:p>
    <w:p w14:paraId="6D33116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30.l中标人应当在中标通知书发出之日起三十日内，按照招标文件确定的事项与采购人签订政府采购合同。</w:t>
      </w:r>
    </w:p>
    <w:p w14:paraId="323DF1DF">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30.2招标文件、中标人的投标文件及招标过程中有关澄清、承诺文件均应作为合同附件。</w:t>
      </w:r>
    </w:p>
    <w:p w14:paraId="1831F80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30.3签订合同后，</w:t>
      </w:r>
      <w:r>
        <w:rPr>
          <w:rFonts w:hint="eastAsia" w:asciiTheme="minorEastAsia" w:hAnsiTheme="minorEastAsia" w:eastAsiaTheme="minorEastAsia" w:cstheme="minorEastAsia"/>
          <w:i/>
          <w:color w:val="auto"/>
          <w:sz w:val="24"/>
          <w:szCs w:val="24"/>
          <w:highlight w:val="none"/>
          <w:u w:val="single"/>
          <w:lang w:bidi="ar"/>
        </w:rPr>
        <w:t>中标人不得将合同标的进行转包</w:t>
      </w:r>
      <w:r>
        <w:rPr>
          <w:rFonts w:hint="eastAsia" w:asciiTheme="minorEastAsia" w:hAnsiTheme="minorEastAsia" w:eastAsiaTheme="minorEastAsia" w:cstheme="minorEastAsia"/>
          <w:color w:val="auto"/>
          <w:sz w:val="24"/>
          <w:szCs w:val="24"/>
          <w:highlight w:val="none"/>
          <w:lang w:bidi="ar"/>
        </w:rPr>
        <w:t>。未经采购人同意，中标人也不得采用分包的形式履行合同，否则采购人有权终止合同。转包或分包造成采购人损失的，中标人应承担相应赔偿责任。</w:t>
      </w:r>
    </w:p>
    <w:p w14:paraId="7B5D6A3A">
      <w:pPr>
        <w:pStyle w:val="6"/>
        <w:pageBreakBefore w:val="0"/>
        <w:kinsoku/>
        <w:wordWrap/>
        <w:overflowPunct/>
        <w:topLinePunct w:val="0"/>
        <w:bidi w:val="0"/>
        <w:spacing w:before="0" w:after="0" w:line="360" w:lineRule="auto"/>
        <w:ind w:firstLine="480" w:firstLineChars="200"/>
        <w:textAlignment w:val="auto"/>
        <w:rPr>
          <w:rFonts w:hint="eastAsia" w:asciiTheme="minorEastAsia" w:hAnsiTheme="minorEastAsia" w:eastAsiaTheme="minorEastAsia" w:cstheme="minorEastAsia"/>
          <w:b w:val="0"/>
          <w:color w:val="auto"/>
          <w:sz w:val="24"/>
          <w:szCs w:val="24"/>
          <w:highlight w:val="none"/>
        </w:rPr>
      </w:pPr>
      <w:r>
        <w:rPr>
          <w:rFonts w:hint="eastAsia" w:asciiTheme="minorEastAsia" w:hAnsiTheme="minorEastAsia" w:eastAsiaTheme="minorEastAsia" w:cstheme="minorEastAsia"/>
          <w:b w:val="0"/>
          <w:color w:val="auto"/>
          <w:sz w:val="24"/>
          <w:szCs w:val="24"/>
          <w:highlight w:val="none"/>
        </w:rPr>
        <w:t>3</w:t>
      </w:r>
      <w:r>
        <w:rPr>
          <w:rFonts w:hint="eastAsia" w:asciiTheme="minorEastAsia" w:hAnsiTheme="minorEastAsia" w:eastAsiaTheme="minorEastAsia" w:cstheme="minorEastAsia"/>
          <w:b w:val="0"/>
          <w:color w:val="auto"/>
          <w:sz w:val="24"/>
          <w:szCs w:val="24"/>
          <w:highlight w:val="none"/>
          <w:lang w:val="en-US" w:eastAsia="zh-CN"/>
        </w:rPr>
        <w:t>1</w:t>
      </w:r>
      <w:r>
        <w:rPr>
          <w:rFonts w:hint="eastAsia" w:asciiTheme="minorEastAsia" w:hAnsiTheme="minorEastAsia" w:eastAsiaTheme="minorEastAsia" w:cstheme="minorEastAsia"/>
          <w:b w:val="0"/>
          <w:color w:val="auto"/>
          <w:sz w:val="24"/>
          <w:szCs w:val="24"/>
          <w:highlight w:val="none"/>
        </w:rPr>
        <w:t>、服务（包含与服务相关的货物）的追加</w:t>
      </w:r>
    </w:p>
    <w:p w14:paraId="234B0104">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.1政府采购合同履行中，采购人需追加与合同标的相同的服务的（包含与服务相关的货物），在不改变合同其他条款的前提下，可以与中标人协商签订补充合同，但所有补充合同的采购金额不超过原合同金额10%。</w:t>
      </w:r>
    </w:p>
    <w:bookmarkEnd w:id="142"/>
    <w:bookmarkEnd w:id="143"/>
    <w:bookmarkEnd w:id="144"/>
    <w:p w14:paraId="5AE708E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bidi="ar"/>
        </w:rPr>
      </w:pPr>
      <w:bookmarkStart w:id="145" w:name="bookmark90"/>
      <w:bookmarkStart w:id="146" w:name="bookmark91"/>
      <w:bookmarkStart w:id="147" w:name="_Toc16938558"/>
      <w:bookmarkStart w:id="148" w:name="_Toc513029242"/>
      <w:bookmarkStart w:id="149" w:name="_Toc20823314"/>
      <w:bookmarkStart w:id="150" w:name="_Toc120614221"/>
      <w:bookmarkStart w:id="151" w:name="_Toc479757207"/>
      <w:r>
        <w:rPr>
          <w:rFonts w:hint="eastAsia" w:asciiTheme="minorEastAsia" w:hAnsiTheme="minorEastAsia" w:eastAsiaTheme="minorEastAsia" w:cstheme="minorEastAsia"/>
          <w:color w:val="auto"/>
          <w:sz w:val="24"/>
          <w:szCs w:val="24"/>
          <w:highlight w:val="none"/>
          <w:lang w:val="en-US" w:eastAsia="zh-CN" w:bidi="ar"/>
        </w:rPr>
        <w:t>32.政府采购政策功能落实</w:t>
      </w:r>
    </w:p>
    <w:p w14:paraId="29B01D6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32.1政府采购线上合同信用融资政策</w:t>
      </w:r>
    </w:p>
    <w:p w14:paraId="449EBF7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51290A1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32.2进口产品</w:t>
      </w:r>
    </w:p>
    <w:p w14:paraId="54D11A0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BF8A364">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32.3中小企业、监狱企业及残疾人福利性单位</w:t>
      </w:r>
    </w:p>
    <w:p w14:paraId="16F83E6F">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32.3.1中小企业定义：</w:t>
      </w:r>
    </w:p>
    <w:p w14:paraId="53527F7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5A13C96C">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32.3.2供应商提供的货物、工程或者服务符合下列情形的，享受中小企业扶持政策：</w:t>
      </w:r>
    </w:p>
    <w:p w14:paraId="5DBF2C6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32.3.2.1在货物采购项目中，货物由中小企业制造，即货物由中小企业生产且使用该中小企业商号或者注册商标；</w:t>
      </w:r>
    </w:p>
    <w:p w14:paraId="60BAB80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32.3.2.2在工程采购项目中，工程由中小企业承建，即工程施工单位为中小企业；</w:t>
      </w:r>
    </w:p>
    <w:p w14:paraId="0D26F68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32.3.2.3在服务采购项目中，服务由中小企业承接，即提供服务的人员为中小企业依照《中华人民共和国劳动合同法》订立劳动合同的从业人员。</w:t>
      </w:r>
    </w:p>
    <w:p w14:paraId="458FA6D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32.3.3在货物采购项目中，供应商提供的货物既有中小企业制造货物，也有大型企业制造货物的，不享受中小企业扶持政策。</w:t>
      </w:r>
    </w:p>
    <w:p w14:paraId="1D68ABC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32.3.4以联合体形式参加政府采购活动，联合体各方均为中小企业的，联合体视同中小企业。其中，联合体各方均为小微企业的，联合体视同小微企业。</w:t>
      </w:r>
    </w:p>
    <w:p w14:paraId="50DEB491">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9C645D">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32.3.6残疾人福利单位定义：享受政府采购支持政策的残疾人福利性单位应当同时满足以下条件：</w:t>
      </w:r>
    </w:p>
    <w:p w14:paraId="2DBB7C1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32.3.6.1安置的残疾人占本单位在职职工人数的比例不低于25%（含25%），并且安置的残疾人人数不少于10人（含10人）；</w:t>
      </w:r>
    </w:p>
    <w:p w14:paraId="228E919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32.3.6.2依法与安置的每位残疾人签订了一年以上（含一年）的劳动合同或服务协议；</w:t>
      </w:r>
    </w:p>
    <w:p w14:paraId="6C681807">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32.3.6.3为安置的每位残疾人按月足额缴纳了基本养老保险、基本医疗保险、失业保险、工伤保险和生育保险等社会保险费；</w:t>
      </w:r>
    </w:p>
    <w:p w14:paraId="42A8FB5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32.3.6.4通过银行等金融机构向安置的每位残疾人，按月支付了不低于单位所在区县适用的经省级人民政府批准的月最低工资标准的工资；</w:t>
      </w:r>
    </w:p>
    <w:p w14:paraId="4D2CCBA2">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32.3.6.5提供本单位制造的货物、承担的工程或者服务（以下简称产品），或者提供其他残疾人福利性单位制造的货物（不包括使用非残疾人福利性单位注册商标的货物）；</w:t>
      </w:r>
    </w:p>
    <w:p w14:paraId="0EC34AC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7A0DFCC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32.3.7本项目是否专门面向中小企业预留采购份额见第一章《招标公告》。</w:t>
      </w:r>
    </w:p>
    <w:p w14:paraId="06D3763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32.3.8采购标的对应的中小企业划分标准所属行业见第四章《采购需求》。</w:t>
      </w:r>
    </w:p>
    <w:p w14:paraId="6EB41ED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32.3.9小微企业价格评审优惠的政策：见第五章《评标方法和评标标准》。</w:t>
      </w:r>
    </w:p>
    <w:p w14:paraId="6385FF2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32.4政府采购节能产品、环境标志产品</w:t>
      </w:r>
    </w:p>
    <w:p w14:paraId="7C74996C">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BD20DBC">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5A3A23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32.5绿色包装</w:t>
      </w:r>
    </w:p>
    <w:p w14:paraId="1A4416A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5859EC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32.6政府采购创新产品</w:t>
      </w:r>
    </w:p>
    <w:p w14:paraId="120A190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采购人优先采购各级政府部门公开发布的有效期内的创新产品、创新服务、首台套、首购首用等《目录》的创新产品。</w:t>
      </w:r>
    </w:p>
    <w:p w14:paraId="46A66C83">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32.7绿色数据中心政策</w:t>
      </w:r>
    </w:p>
    <w:p w14:paraId="39BF7E29">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92BAFBC">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32.8实施本国产品标准及相关政策</w:t>
      </w:r>
    </w:p>
    <w:p w14:paraId="127C3295">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1.本项目对采购本国产品给予政策支持，具体内容见招标文件“第五章 评标方法与评标标准”。</w:t>
      </w:r>
    </w:p>
    <w:p w14:paraId="1DA0CE22">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3AA2481">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AD7D7E">
      <w:pPr>
        <w:pageBreakBefore w:val="0"/>
        <w:kinsoku/>
        <w:wordWrap/>
        <w:overflowPunct/>
        <w:topLinePunct w:val="0"/>
        <w:bidi w:val="0"/>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292A47CB">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履约保证金政策</w:t>
      </w:r>
    </w:p>
    <w:p w14:paraId="7C607095">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确需收取履约保证金的，履约保证金的缴纳形式：</w:t>
      </w:r>
    </w:p>
    <w:p w14:paraId="72D6A713">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4224C56">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如以履约保函（保险）形式缴纳履约保证金，供应商可通过政府采购电子履约保函（保险）平台（www.jsdzbh.com）在线申请履约保函（保险）。</w:t>
      </w:r>
    </w:p>
    <w:p w14:paraId="75CEA5D0">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4B9321DA">
      <w:pPr>
        <w:pageBreakBefore w:val="0"/>
        <w:kinsoku/>
        <w:wordWrap/>
        <w:overflowPunct/>
        <w:topLinePunct w:val="0"/>
        <w:bidi w:val="0"/>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33.预付款制度</w:t>
      </w:r>
    </w:p>
    <w:p w14:paraId="039E43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本项目落实预付款制度，预付款比例为</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0%。在签订合同时，中标、成交供应商明确书面表示无需预付款或者主动要求降低预付款比例的，采购人可就预付款比例作相应调整。</w:t>
      </w:r>
    </w:p>
    <w:p w14:paraId="168076E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34.</w:t>
      </w:r>
      <w:r>
        <w:rPr>
          <w:rFonts w:hint="eastAsia" w:asciiTheme="minorEastAsia" w:hAnsiTheme="minorEastAsia" w:eastAsiaTheme="minorEastAsia" w:cstheme="minorEastAsia"/>
          <w:b/>
          <w:bCs/>
          <w:color w:val="auto"/>
          <w:sz w:val="24"/>
          <w:szCs w:val="24"/>
          <w:highlight w:val="none"/>
        </w:rPr>
        <w:t>本项目杜绝任何形式的挂靠,严禁分包。</w:t>
      </w:r>
      <w:r>
        <w:rPr>
          <w:rFonts w:hint="eastAsia" w:asciiTheme="minorEastAsia" w:hAnsiTheme="minorEastAsia" w:eastAsiaTheme="minorEastAsia" w:cstheme="minorEastAsia"/>
          <w:b/>
          <w:bCs/>
          <w:color w:val="auto"/>
          <w:sz w:val="24"/>
          <w:szCs w:val="24"/>
          <w:highlight w:val="none"/>
          <w:lang w:val="en-US" w:eastAsia="zh-CN"/>
        </w:rPr>
        <w:t>中标</w:t>
      </w:r>
      <w:r>
        <w:rPr>
          <w:rFonts w:hint="eastAsia" w:asciiTheme="minorEastAsia" w:hAnsiTheme="minorEastAsia" w:eastAsiaTheme="minorEastAsia" w:cstheme="minorEastAsia"/>
          <w:b/>
          <w:bCs/>
          <w:color w:val="auto"/>
          <w:sz w:val="24"/>
          <w:szCs w:val="24"/>
          <w:highlight w:val="none"/>
        </w:rPr>
        <w:t>后,</w:t>
      </w:r>
      <w:r>
        <w:rPr>
          <w:rFonts w:hint="eastAsia" w:asciiTheme="minorEastAsia" w:hAnsiTheme="minorEastAsia" w:eastAsiaTheme="minorEastAsia" w:cstheme="minorEastAsia"/>
          <w:b/>
          <w:bCs/>
          <w:color w:val="auto"/>
          <w:sz w:val="24"/>
          <w:szCs w:val="24"/>
          <w:highlight w:val="none"/>
          <w:lang w:val="en-US" w:eastAsia="zh-CN"/>
        </w:rPr>
        <w:t>发现有挂靠或分包或虚假应标等违规行为，①采购人将取消其中标候选人的中标资格并追究中标人的民事赔偿，②</w:t>
      </w:r>
      <w:r>
        <w:rPr>
          <w:rFonts w:hint="eastAsia" w:asciiTheme="minorEastAsia" w:hAnsiTheme="minorEastAsia" w:eastAsiaTheme="minorEastAsia" w:cstheme="minorEastAsia"/>
          <w:b/>
          <w:bCs/>
          <w:color w:val="auto"/>
          <w:sz w:val="24"/>
          <w:szCs w:val="24"/>
          <w:highlight w:val="none"/>
        </w:rPr>
        <w:t>上报财政主管部门,将其列入黑名单</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③如涉嫌刑事移送司法机关；④</w:t>
      </w:r>
      <w:r>
        <w:rPr>
          <w:rFonts w:hint="eastAsia" w:asciiTheme="minorEastAsia" w:hAnsiTheme="minorEastAsia" w:eastAsiaTheme="minorEastAsia" w:cstheme="minorEastAsia"/>
          <w:b/>
          <w:bCs/>
          <w:color w:val="auto"/>
          <w:sz w:val="24"/>
          <w:szCs w:val="24"/>
          <w:highlight w:val="none"/>
        </w:rPr>
        <w:t>追究其耽误采购人进场时间、各项费用损失之法律责任。如在合同签订后发现其挂靠,则①立即清退出场;②没收全部履约保证金;③承担采购人延期进场等一切损失;④如因挂靠引起的诉讼,采购人有权拒绝支付剩余服务费用,有权扣除因诉讼引起的相关损失,并保留进一步诉讼的权利。</w:t>
      </w:r>
    </w:p>
    <w:p w14:paraId="26E1FACA">
      <w:pPr>
        <w:keepNext/>
        <w:keepLines/>
        <w:pageBreakBefore w:val="0"/>
        <w:widowControl w:val="0"/>
        <w:kinsoku/>
        <w:wordWrap/>
        <w:overflowPunct/>
        <w:topLinePunct w:val="0"/>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35.踏勘</w:t>
      </w:r>
    </w:p>
    <w:p w14:paraId="5C15FD86">
      <w:pPr>
        <w:pageBreakBefore w:val="0"/>
        <w:widowControl w:val="0"/>
        <w:kinsoku/>
        <w:wordWrap/>
        <w:overflowPunct/>
        <w:topLinePunct w:val="0"/>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35.1投标人自行到项目现场进行踏勘，充分了解位置、情况、规模及任何其他足以影响投标报价的情况，并将本项目可预见的相关费用考虑到投标报价中，中标后招标人可认为本项目可预见费用已包括在投标报价中。任何因忽视或误解项目情况而导致的索赔将不予认可。</w:t>
      </w:r>
    </w:p>
    <w:p w14:paraId="10B4806A">
      <w:pPr>
        <w:pageBreakBefore w:val="0"/>
        <w:widowControl w:val="0"/>
        <w:kinsoku/>
        <w:wordWrap/>
        <w:overflowPunct/>
        <w:topLinePunct w:val="0"/>
        <w:bidi w:val="0"/>
        <w:spacing w:beforeAutospacing="0" w:afterAutospacing="0" w:line="360" w:lineRule="auto"/>
        <w:ind w:firstLine="480" w:firstLineChars="200"/>
        <w:jc w:val="both"/>
        <w:textAlignment w:val="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35.2招标人在踏勘现场中介绍的项目情况，投标人在编制投标文件时参考，招标人不对投标人据此作出的判断和决策负责。</w:t>
      </w:r>
    </w:p>
    <w:p w14:paraId="6BF3D235">
      <w:pPr>
        <w:pageBreakBefore w:val="0"/>
        <w:tabs>
          <w:tab w:val="left" w:pos="900"/>
        </w:tabs>
        <w:kinsoku/>
        <w:wordWrap/>
        <w:overflowPunct/>
        <w:topLinePunct w:val="0"/>
        <w:bidi w:val="0"/>
        <w:spacing w:line="360" w:lineRule="auto"/>
        <w:ind w:firstLine="480" w:firstLineChars="200"/>
        <w:textAlignment w:val="auto"/>
        <w:rPr>
          <w:rFonts w:hint="eastAsia" w:ascii="宋体" w:hAnsi="宋体"/>
          <w:color w:val="auto"/>
          <w:sz w:val="24"/>
          <w:highlight w:val="none"/>
          <w:lang w:val="zh-CN"/>
        </w:rPr>
      </w:pPr>
      <w:r>
        <w:rPr>
          <w:rFonts w:hint="eastAsia" w:asciiTheme="minorEastAsia" w:hAnsiTheme="minorEastAsia" w:eastAsiaTheme="minorEastAsia" w:cstheme="minorEastAsia"/>
          <w:color w:val="auto"/>
          <w:sz w:val="24"/>
          <w:szCs w:val="24"/>
          <w:highlight w:val="none"/>
          <w:lang w:val="en-US" w:eastAsia="zh-CN" w:bidi="ar-SA"/>
        </w:rPr>
        <w:t>35.3投标人承担踏勘现场所发生的自身费用</w:t>
      </w:r>
      <w:r>
        <w:rPr>
          <w:rFonts w:hint="eastAsia" w:ascii="宋体" w:hAnsi="宋体" w:eastAsia="宋体" w:cs="宋体"/>
          <w:color w:val="auto"/>
          <w:sz w:val="24"/>
          <w:szCs w:val="24"/>
          <w:highlight w:val="none"/>
          <w:lang w:val="en-US" w:eastAsia="zh-CN" w:bidi="ar-SA"/>
        </w:rPr>
        <w:t>。</w:t>
      </w:r>
    </w:p>
    <w:p w14:paraId="0DC1D6F9">
      <w:pPr>
        <w:pStyle w:val="42"/>
        <w:pageBreakBefore w:val="0"/>
        <w:kinsoku/>
        <w:wordWrap/>
        <w:overflowPunct/>
        <w:topLinePunct w:val="0"/>
        <w:bidi w:val="0"/>
        <w:spacing w:line="360" w:lineRule="auto"/>
        <w:ind w:firstLine="480" w:firstLineChars="200"/>
        <w:textAlignment w:val="auto"/>
        <w:rPr>
          <w:rFonts w:hint="eastAsia" w:ascii="宋体" w:hAnsi="宋体"/>
          <w:color w:val="auto"/>
          <w:sz w:val="24"/>
          <w:highlight w:val="none"/>
          <w:lang w:val="zh-CN"/>
        </w:rPr>
      </w:pPr>
    </w:p>
    <w:p w14:paraId="49CFE557">
      <w:pPr>
        <w:pStyle w:val="42"/>
        <w:pageBreakBefore w:val="0"/>
        <w:kinsoku/>
        <w:wordWrap/>
        <w:overflowPunct/>
        <w:topLinePunct w:val="0"/>
        <w:bidi w:val="0"/>
        <w:spacing w:line="360" w:lineRule="auto"/>
        <w:ind w:firstLine="480" w:firstLineChars="200"/>
        <w:textAlignment w:val="auto"/>
        <w:rPr>
          <w:rFonts w:hint="eastAsia" w:ascii="宋体" w:hAnsi="宋体"/>
          <w:color w:val="auto"/>
          <w:sz w:val="24"/>
          <w:highlight w:val="none"/>
          <w:lang w:val="zh-CN"/>
        </w:rPr>
      </w:pPr>
    </w:p>
    <w:p w14:paraId="0A221614">
      <w:pPr>
        <w:pageBreakBefore w:val="0"/>
        <w:kinsoku/>
        <w:wordWrap/>
        <w:overflowPunct/>
        <w:topLinePunct w:val="0"/>
        <w:bidi w:val="0"/>
        <w:spacing w:line="360" w:lineRule="auto"/>
        <w:ind w:firstLine="880" w:firstLineChars="200"/>
        <w:textAlignment w:val="auto"/>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br w:type="page"/>
      </w:r>
    </w:p>
    <w:p w14:paraId="49F5EF43">
      <w:pPr>
        <w:pStyle w:val="120"/>
        <w:keepNext/>
        <w:keepLines/>
        <w:pageBreakBefore w:val="0"/>
        <w:shd w:val="clear" w:color="auto" w:fill="auto"/>
        <w:kinsoku/>
        <w:wordWrap/>
        <w:overflowPunct/>
        <w:topLinePunct w:val="0"/>
        <w:bidi w:val="0"/>
        <w:spacing w:after="0" w:line="360" w:lineRule="auto"/>
        <w:ind w:firstLine="880" w:firstLineChars="200"/>
        <w:jc w:val="center"/>
        <w:textAlignment w:val="auto"/>
        <w:rPr>
          <w:rFonts w:hint="eastAsia" w:asciiTheme="minorEastAsia" w:hAnsiTheme="minorEastAsia" w:eastAsiaTheme="minorEastAsia"/>
          <w:color w:val="auto"/>
          <w:sz w:val="44"/>
          <w:szCs w:val="44"/>
          <w:highlight w:val="none"/>
          <w:lang w:eastAsia="zh-CN"/>
        </w:rPr>
      </w:pPr>
      <w:r>
        <w:rPr>
          <w:rFonts w:asciiTheme="minorEastAsia" w:hAnsiTheme="minorEastAsia" w:eastAsiaTheme="minorEastAsia"/>
          <w:color w:val="auto"/>
          <w:sz w:val="44"/>
          <w:szCs w:val="44"/>
          <w:highlight w:val="none"/>
        </w:rPr>
        <w:t>第三章合同</w:t>
      </w:r>
      <w:bookmarkEnd w:id="145"/>
      <w:bookmarkEnd w:id="146"/>
      <w:r>
        <w:rPr>
          <w:rFonts w:hint="eastAsia" w:asciiTheme="minorEastAsia" w:hAnsiTheme="minorEastAsia" w:eastAsiaTheme="minorEastAsia"/>
          <w:color w:val="auto"/>
          <w:sz w:val="44"/>
          <w:szCs w:val="44"/>
          <w:highlight w:val="none"/>
          <w:lang w:val="en-US" w:eastAsia="zh-CN"/>
        </w:rPr>
        <w:t>文本</w:t>
      </w:r>
    </w:p>
    <w:p w14:paraId="48914C16">
      <w:pPr>
        <w:pStyle w:val="122"/>
        <w:keepNext w:val="0"/>
        <w:keepLines w:val="0"/>
        <w:pageBreakBefore w:val="0"/>
        <w:shd w:val="clear" w:color="auto" w:fill="auto"/>
        <w:tabs>
          <w:tab w:val="left" w:pos="5904"/>
        </w:tabs>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rPr>
        <w:tab/>
      </w:r>
    </w:p>
    <w:p w14:paraId="6BE6F329">
      <w:pPr>
        <w:pStyle w:val="122"/>
        <w:keepNext w:val="0"/>
        <w:keepLines w:val="0"/>
        <w:pageBreakBefore w:val="0"/>
        <w:shd w:val="clear" w:color="auto" w:fill="auto"/>
        <w:tabs>
          <w:tab w:val="left" w:pos="5904"/>
        </w:tabs>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1CC24181">
      <w:pPr>
        <w:pStyle w:val="122"/>
        <w:keepNext w:val="0"/>
        <w:keepLines w:val="0"/>
        <w:pageBreakBefore w:val="0"/>
        <w:shd w:val="clear" w:color="auto" w:fill="auto"/>
        <w:tabs>
          <w:tab w:val="left" w:leader="underscore" w:pos="2722"/>
        </w:tabs>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p>
    <w:p w14:paraId="151B7DD9">
      <w:pPr>
        <w:pStyle w:val="122"/>
        <w:keepNext w:val="0"/>
        <w:keepLines w:val="0"/>
        <w:pageBreakBefore w:val="0"/>
        <w:shd w:val="clear" w:color="auto" w:fill="auto"/>
        <w:tabs>
          <w:tab w:val="left" w:leader="underscore" w:pos="2722"/>
        </w:tabs>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ab/>
      </w:r>
    </w:p>
    <w:p w14:paraId="7AD3C14F">
      <w:pPr>
        <w:pStyle w:val="122"/>
        <w:keepNext w:val="0"/>
        <w:keepLines w:val="0"/>
        <w:pageBreakBefore w:val="0"/>
        <w:shd w:val="clear" w:color="auto" w:fill="auto"/>
        <w:tabs>
          <w:tab w:val="left" w:leader="underscore" w:pos="2722"/>
        </w:tabs>
        <w:kinsoku/>
        <w:wordWrap/>
        <w:overflowPunct/>
        <w:topLinePunct w:val="0"/>
        <w:autoSpaceDE/>
        <w:autoSpaceDN/>
        <w:bidi w:val="0"/>
        <w:adjustRightInd/>
        <w:spacing w:line="360" w:lineRule="auto"/>
        <w:ind w:left="0"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丙方：（见证方）</w:t>
      </w:r>
      <w:r>
        <w:rPr>
          <w:rFonts w:hint="eastAsia" w:ascii="宋体" w:hAnsi="宋体" w:eastAsia="宋体" w:cs="宋体"/>
          <w:color w:val="auto"/>
          <w:sz w:val="24"/>
          <w:szCs w:val="24"/>
          <w:highlight w:val="none"/>
          <w:u w:val="single"/>
          <w:lang w:val="en-US" w:eastAsia="zh-CN"/>
        </w:rPr>
        <w:t>滨海县民政局</w:t>
      </w:r>
    </w:p>
    <w:p w14:paraId="54E3D8DA">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u w:val="single"/>
          <w:lang w:eastAsia="zh-CN"/>
        </w:rPr>
        <w:t>2026年-2029年通榆镇养老服务中心运营机构招标项目</w:t>
      </w:r>
      <w:r>
        <w:rPr>
          <w:rFonts w:hint="eastAsia" w:ascii="宋体" w:hAnsi="宋体" w:eastAsia="宋体" w:cs="宋体"/>
          <w:color w:val="auto"/>
          <w:sz w:val="24"/>
          <w:szCs w:val="24"/>
          <w:highlight w:val="none"/>
        </w:rPr>
        <w:t>公开招标的结果，为明</w:t>
      </w:r>
      <w:bookmarkEnd w:id="147"/>
      <w:bookmarkEnd w:id="148"/>
      <w:bookmarkEnd w:id="149"/>
      <w:bookmarkEnd w:id="150"/>
      <w:bookmarkEnd w:id="151"/>
      <w:r>
        <w:rPr>
          <w:rFonts w:hint="eastAsia" w:ascii="宋体" w:hAnsi="宋体" w:eastAsia="宋体" w:cs="宋体"/>
          <w:color w:val="auto"/>
          <w:sz w:val="24"/>
          <w:szCs w:val="24"/>
          <w:highlight w:val="none"/>
        </w:rPr>
        <w:t>确</w:t>
      </w:r>
      <w:bookmarkStart w:id="152" w:name="_Toc20823315"/>
      <w:bookmarkStart w:id="153" w:name="_Toc16938559"/>
      <w:bookmarkStart w:id="154" w:name="_Toc513029243"/>
      <w:r>
        <w:rPr>
          <w:rFonts w:hint="eastAsia" w:ascii="宋体" w:hAnsi="宋体" w:eastAsia="宋体" w:cs="宋体"/>
          <w:color w:val="auto"/>
          <w:sz w:val="24"/>
          <w:szCs w:val="24"/>
          <w:highlight w:val="none"/>
        </w:rPr>
        <w:t>各自权利义务和有关事项，甲乙双方根据相关法律法规和招投标文件内容，签订合同如下：</w:t>
      </w:r>
    </w:p>
    <w:p w14:paraId="600D40B7">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一、项目概况：</w:t>
      </w:r>
    </w:p>
    <w:p w14:paraId="096665B7">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1.1项目名称：</w:t>
      </w:r>
    </w:p>
    <w:p w14:paraId="1407C073">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1.2项目内容：</w:t>
      </w:r>
    </w:p>
    <w:p w14:paraId="34BDA327">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1.3合同履行期限：</w:t>
      </w:r>
    </w:p>
    <w:p w14:paraId="7E845C57">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二、合同金额：</w:t>
      </w:r>
    </w:p>
    <w:p w14:paraId="76B524EC">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2.1按照本项目招标文件和乙方投标文件,本合同总标的上限为人民币（下同）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p>
    <w:p w14:paraId="65B313F5">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其中：</w:t>
      </w:r>
      <w:r>
        <w:rPr>
          <w:rFonts w:hint="eastAsia" w:ascii="宋体" w:hAnsi="宋体" w:eastAsia="宋体" w:cs="宋体"/>
          <w:color w:val="auto"/>
          <w:sz w:val="24"/>
          <w:szCs w:val="24"/>
          <w:highlight w:val="none"/>
        </w:rPr>
        <w:t>自理、轻度失能特困人员单价为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元/人·月；中度失能特困人员单价为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元/人·月；重度失能、完全失能特困人员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元/人·月。实际结算金额按甲乙双方核定的不同类型人数和考核结果结算。</w:t>
      </w:r>
    </w:p>
    <w:p w14:paraId="71A12574">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合同款包括通榆养老服务中心运营所需的一切费用，包括但不限于：人工费、交通费、办公费、水电费、维修费、网络通讯费、招标代理费、投标费用、管理费、税金、利润、各类风险费、不可预见费及其他一切相关费用等所有费用，同时，报价也应包含合同履行过程中可能发生的一切意外风险赔偿金，招标文件中另有规定的除外。</w:t>
      </w:r>
      <w:r>
        <w:rPr>
          <w:rFonts w:hint="eastAsia" w:ascii="宋体" w:hAnsi="宋体" w:cs="宋体"/>
          <w:i/>
          <w:iCs/>
          <w:color w:val="auto"/>
          <w:sz w:val="24"/>
          <w:szCs w:val="24"/>
          <w:highlight w:val="none"/>
          <w:lang w:eastAsia="zh-CN"/>
        </w:rPr>
        <w:t xml:space="preserve">（注：合同期内，敬老院所有设施设备的维修费用均由中标人自行承担。设施设备发生故障或损坏需要维修的，中标人须及时维修，确保设施设备正常运转，中标人未及时维修的，由此产生的一切后果及责任均由中标人自行承担。) </w:t>
      </w:r>
    </w:p>
    <w:p w14:paraId="7B490AE2">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三、付款方式</w:t>
      </w:r>
      <w:r>
        <w:rPr>
          <w:rFonts w:hint="eastAsia" w:ascii="宋体" w:hAnsi="宋体" w:eastAsia="宋体" w:cs="宋体"/>
          <w:color w:val="auto"/>
          <w:sz w:val="24"/>
          <w:szCs w:val="24"/>
          <w:highlight w:val="none"/>
          <w:lang w:eastAsia="zh-CN"/>
        </w:rPr>
        <w:t>：</w:t>
      </w:r>
    </w:p>
    <w:p w14:paraId="4535BA8C">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3.1合同</w:t>
      </w:r>
      <w:r>
        <w:rPr>
          <w:rFonts w:hint="eastAsia" w:hAnsi="宋体" w:cs="宋体"/>
          <w:color w:val="auto"/>
          <w:sz w:val="24"/>
          <w:szCs w:val="24"/>
          <w:highlight w:val="none"/>
          <w:lang w:eastAsia="zh-CN"/>
        </w:rPr>
        <w:t>签订</w:t>
      </w:r>
      <w:r>
        <w:rPr>
          <w:rFonts w:hint="eastAsia" w:ascii="宋体" w:hAnsi="宋体" w:eastAsia="宋体" w:cs="宋体"/>
          <w:color w:val="auto"/>
          <w:sz w:val="24"/>
          <w:szCs w:val="24"/>
          <w:highlight w:val="none"/>
        </w:rPr>
        <w:t>后7日内支付合同总价的10%作为预付款（中标人须提供合同总价10%的银行保函），实际结算金额按甲方核定的不同类型人数和考核结果结算。</w:t>
      </w:r>
    </w:p>
    <w:p w14:paraId="4B7BB521">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3.2采购人根据中标人收住特困人员类别和人数，按月给付供养经费（由采购人当月提请财政部门给付），供养经费应全部用于特困人员供养费用；按季度给付除供养经费之外的</w:t>
      </w:r>
      <w:r>
        <w:rPr>
          <w:rFonts w:hint="eastAsia" w:hAnsi="宋体" w:cs="宋体"/>
          <w:color w:val="auto"/>
          <w:sz w:val="24"/>
          <w:szCs w:val="24"/>
          <w:highlight w:val="none"/>
          <w:lang w:eastAsia="zh-CN"/>
        </w:rPr>
        <w:t>其他</w:t>
      </w:r>
      <w:r>
        <w:rPr>
          <w:rFonts w:hint="eastAsia" w:ascii="宋体" w:hAnsi="宋体" w:eastAsia="宋体" w:cs="宋体"/>
          <w:color w:val="auto"/>
          <w:sz w:val="24"/>
          <w:szCs w:val="24"/>
          <w:highlight w:val="none"/>
        </w:rPr>
        <w:t>运营经费，每季度第一个月，根据上季度中标人收住特困人员类别、人数、考评结果等因素，</w:t>
      </w:r>
      <w:r>
        <w:rPr>
          <w:rFonts w:hint="eastAsia" w:hAnsi="宋体" w:cs="宋体"/>
          <w:i/>
          <w:iCs/>
          <w:color w:val="auto"/>
          <w:sz w:val="24"/>
          <w:szCs w:val="24"/>
          <w:highlight w:val="none"/>
          <w:lang w:val="en-US" w:eastAsia="zh-CN"/>
        </w:rPr>
        <w:t>结算</w:t>
      </w:r>
      <w:r>
        <w:rPr>
          <w:rFonts w:hint="eastAsia" w:ascii="宋体" w:hAnsi="宋体" w:eastAsia="宋体" w:cs="宋体"/>
          <w:color w:val="auto"/>
          <w:sz w:val="24"/>
          <w:szCs w:val="24"/>
          <w:highlight w:val="none"/>
        </w:rPr>
        <w:t>上季度相关运营经费</w:t>
      </w:r>
      <w:r>
        <w:rPr>
          <w:rFonts w:hint="eastAsia" w:hAnsi="宋体" w:cs="宋体"/>
          <w:color w:val="auto"/>
          <w:sz w:val="24"/>
          <w:szCs w:val="24"/>
          <w:highlight w:val="none"/>
          <w:lang w:eastAsia="zh-CN"/>
        </w:rPr>
        <w:t>，</w:t>
      </w:r>
      <w:r>
        <w:rPr>
          <w:rFonts w:hint="eastAsia" w:ascii="宋体" w:hAnsi="宋体" w:eastAsia="宋体" w:cs="宋体"/>
          <w:color w:val="auto"/>
          <w:sz w:val="24"/>
          <w:szCs w:val="24"/>
          <w:highlight w:val="none"/>
        </w:rPr>
        <w:t>中标人提供相应税务发票或凭证</w:t>
      </w:r>
      <w:r>
        <w:rPr>
          <w:rFonts w:hint="eastAsia" w:hAnsi="宋体" w:cs="宋体"/>
          <w:color w:val="auto"/>
          <w:sz w:val="24"/>
          <w:szCs w:val="24"/>
          <w:highlight w:val="none"/>
          <w:lang w:eastAsia="zh-CN"/>
        </w:rPr>
        <w:t>，</w:t>
      </w:r>
      <w:r>
        <w:rPr>
          <w:rFonts w:hint="eastAsia" w:hAnsi="宋体" w:cs="宋体"/>
          <w:i/>
          <w:iCs/>
          <w:color w:val="auto"/>
          <w:sz w:val="24"/>
          <w:szCs w:val="24"/>
          <w:highlight w:val="none"/>
          <w:lang w:val="en-US" w:eastAsia="zh-CN"/>
        </w:rPr>
        <w:t>待上级资金到位后及时拨付中标人</w:t>
      </w:r>
      <w:r>
        <w:rPr>
          <w:rFonts w:hint="eastAsia" w:ascii="宋体" w:hAnsi="宋体" w:eastAsia="宋体" w:cs="宋体"/>
          <w:i/>
          <w:iCs/>
          <w:color w:val="auto"/>
          <w:sz w:val="24"/>
          <w:szCs w:val="24"/>
          <w:highlight w:val="none"/>
        </w:rPr>
        <w:t>。</w:t>
      </w:r>
    </w:p>
    <w:p w14:paraId="78E76FF9">
      <w:pPr>
        <w:keepNext w:val="0"/>
        <w:keepLines w:val="0"/>
        <w:pageBreakBefore w:val="0"/>
        <w:widowControl/>
        <w:kinsoku/>
        <w:wordWrap/>
        <w:overflowPunct/>
        <w:topLinePunct w:val="0"/>
        <w:autoSpaceDE/>
        <w:autoSpaceDN/>
        <w:bidi w:val="0"/>
        <w:adjustRightInd/>
        <w:spacing w:line="360" w:lineRule="auto"/>
        <w:ind w:left="0" w:firstLine="482" w:firstLineChars="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四、履约保证金</w:t>
      </w:r>
    </w:p>
    <w:p w14:paraId="764C2D59">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.1乙方交纳人民币_________元作为本合同的履约保证金。（签订合同前乙方须向甲方缴纳履约保证金）。（备注：履约保证金金额为合同金额的10%，采购人对第三方信用服务机构依据标准规范评定为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384E43B8">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.2确需收取履约保证金的，履约保证金的缴纳形式：</w:t>
      </w:r>
    </w:p>
    <w:p w14:paraId="497A65E1">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73B6253">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.2.2 如以履约保函（保险）形式缴纳履约保证金，供应商可通过政府采购电子履约保函（保险）平台（www.jsdzbh.com）在线申请履约保函（保险）。</w:t>
      </w:r>
    </w:p>
    <w:p w14:paraId="77B7048C">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.3合同履行结束后，甲方应及时退还交纳的履约保证金。</w:t>
      </w:r>
    </w:p>
    <w:p w14:paraId="6F1F3434">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4.4履约保证金的退还：</w:t>
      </w:r>
    </w:p>
    <w:p w14:paraId="60B227BB">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.4.1方式：无息退还至投标人缴纳履约保证金的账户。如为保函，在到期时自行失效。</w:t>
      </w:r>
    </w:p>
    <w:p w14:paraId="668D7450">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.4.2时间：验收合格且采购人收到发票后30日内。</w:t>
      </w:r>
    </w:p>
    <w:p w14:paraId="79D5C16A">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.4.3条件：按合同要求全部履约完成并经采购人验收合格，且采购人收到中标人出具的发票。</w:t>
      </w:r>
    </w:p>
    <w:p w14:paraId="33811C9B">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.4.4不予退还情形：</w:t>
      </w:r>
    </w:p>
    <w:p w14:paraId="35D6AE92">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除不可抗力情况外，投标人出现下列情形之一的，其履约保证金，采购人将视情节决定不予退还或部分不予退还。</w:t>
      </w:r>
    </w:p>
    <w:p w14:paraId="638ED68A">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（1）中标人无正当理由拒绝签订合同的，或者在签订合同时向采购人提出附加条件或者更改合同实质性内容要求的；</w:t>
      </w:r>
    </w:p>
    <w:p w14:paraId="4CE90724">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（2）中标人不履行与采购人订立的合同的；</w:t>
      </w:r>
    </w:p>
    <w:p w14:paraId="37654ADC">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（3）中标人所供货物或服务不符合招标文件规定要求的；</w:t>
      </w:r>
    </w:p>
    <w:p w14:paraId="274B7601">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（4）中标人采取欺骗、弄虚作假方式投标的或与</w:t>
      </w:r>
      <w:r>
        <w:rPr>
          <w:rFonts w:hint="eastAsia" w:ascii="宋体" w:hAnsi="宋体" w:cs="宋体"/>
          <w:color w:val="auto"/>
          <w:sz w:val="24"/>
          <w:szCs w:val="24"/>
          <w:highlight w:val="none"/>
          <w:lang w:val="zh-CN"/>
        </w:rPr>
        <w:t>其他</w:t>
      </w:r>
      <w:r>
        <w:rPr>
          <w:rFonts w:hint="eastAsia" w:ascii="宋体" w:hAnsi="宋体" w:eastAsia="宋体" w:cs="宋体"/>
          <w:color w:val="auto"/>
          <w:sz w:val="24"/>
          <w:szCs w:val="24"/>
          <w:highlight w:val="none"/>
          <w:lang w:val="zh-CN"/>
        </w:rPr>
        <w:t>投标人串通投标的；</w:t>
      </w:r>
    </w:p>
    <w:p w14:paraId="72D8B712">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（5）中标人将合同内容转包、违法分包的；</w:t>
      </w:r>
    </w:p>
    <w:p w14:paraId="3605EF6D">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（6）中标人故意捏造事实或伪造证明材料，进行虚假恶意投诉或反映的。</w:t>
      </w:r>
    </w:p>
    <w:p w14:paraId="3071A85F">
      <w:pPr>
        <w:keepNext w:val="0"/>
        <w:keepLines w:val="0"/>
        <w:pageBreakBefore w:val="0"/>
        <w:tabs>
          <w:tab w:val="left" w:pos="900"/>
        </w:tabs>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.4.5逾期退还的违约责任：采购人逾期无故未退还履约保证金的，按中国人民银行同期贷款基准利率上浮20%后的利率支付超期资金占用费，但因供应商自身原因导致无法及时退还的除外。</w:t>
      </w:r>
    </w:p>
    <w:p w14:paraId="2B14D1D8">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五、双方的权利和义务</w:t>
      </w:r>
    </w:p>
    <w:p w14:paraId="02C43A37">
      <w:pPr>
        <w:keepNext w:val="0"/>
        <w:keepLines w:val="0"/>
        <w:pageBreakBefore w:val="0"/>
        <w:kinsoku/>
        <w:wordWrap/>
        <w:overflowPunct/>
        <w:topLinePunct w:val="0"/>
        <w:autoSpaceDE/>
        <w:autoSpaceDN/>
        <w:bidi w:val="0"/>
        <w:adjustRightInd/>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5.1甲方的权利和义务</w:t>
      </w:r>
    </w:p>
    <w:p w14:paraId="7A1AA537">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5.1.1采购人有权对中标人开展业务指导、监督管理、检查考评、观摩调研等工作。</w:t>
      </w:r>
    </w:p>
    <w:p w14:paraId="0C0E3BEF">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5.1.2采购人按照招标文件和合同精神，拨付中标人经费。</w:t>
      </w:r>
    </w:p>
    <w:p w14:paraId="62A6BA1F">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5.1.3采购人有义务做好与滨海县乡村资产经营有限公司、相关镇、相关部门关于特困人员集中供养的沟通协调工作。</w:t>
      </w:r>
    </w:p>
    <w:p w14:paraId="75E208D5">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5.1.4运营管理期间，产权人应确保中标人依照招标文件和合同内容正常使用</w:t>
      </w:r>
      <w:r>
        <w:rPr>
          <w:rFonts w:hint="eastAsia" w:ascii="宋体" w:hAnsi="宋体" w:eastAsia="宋体" w:cs="宋体"/>
          <w:i/>
          <w:iCs/>
          <w:color w:val="auto"/>
          <w:sz w:val="24"/>
          <w:szCs w:val="24"/>
          <w:highlight w:val="none"/>
        </w:rPr>
        <w:t>滨海县通榆养老服务中心</w:t>
      </w:r>
      <w:r>
        <w:rPr>
          <w:rFonts w:hint="eastAsia" w:ascii="宋体" w:hAnsi="宋体" w:eastAsia="宋体" w:cs="宋体"/>
          <w:color w:val="auto"/>
          <w:sz w:val="24"/>
          <w:szCs w:val="24"/>
          <w:highlight w:val="none"/>
        </w:rPr>
        <w:t>资产及设施设备，因产权人原因导致资产及设施设备无法正常使用的，产权人应承担由此给中标人造成的损失。</w:t>
      </w:r>
    </w:p>
    <w:p w14:paraId="6409AC32">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5.1.5特困人员在养老机构内如不服从管理，严重违反管理制度，采购人应会同特困人员所在镇（区、街道）对特困人员开展教育，如仍不</w:t>
      </w:r>
      <w:r>
        <w:rPr>
          <w:rFonts w:hint="eastAsia" w:ascii="宋体" w:hAnsi="宋体" w:cs="宋体"/>
          <w:color w:val="auto"/>
          <w:sz w:val="24"/>
          <w:szCs w:val="24"/>
          <w:highlight w:val="none"/>
          <w:lang w:eastAsia="zh-CN"/>
        </w:rPr>
        <w:t>服从</w:t>
      </w:r>
      <w:r>
        <w:rPr>
          <w:rFonts w:hint="eastAsia" w:ascii="宋体" w:hAnsi="宋体" w:eastAsia="宋体" w:cs="宋体"/>
          <w:color w:val="auto"/>
          <w:sz w:val="24"/>
          <w:szCs w:val="24"/>
          <w:highlight w:val="none"/>
        </w:rPr>
        <w:t>管理，采购人应会同特困人员所在镇（区、街道）将该特困人员转为分散供养。</w:t>
      </w:r>
    </w:p>
    <w:p w14:paraId="60764BA5">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5.1.6采购人不得违反招标文件和合同规定擅自解除合同，否则按违约处理。</w:t>
      </w:r>
    </w:p>
    <w:p w14:paraId="181F1D58">
      <w:pPr>
        <w:keepNext w:val="0"/>
        <w:keepLines w:val="0"/>
        <w:pageBreakBefore w:val="0"/>
        <w:kinsoku/>
        <w:wordWrap/>
        <w:overflowPunct/>
        <w:topLinePunct w:val="0"/>
        <w:autoSpaceDE/>
        <w:autoSpaceDN/>
        <w:bidi w:val="0"/>
        <w:adjustRightInd/>
        <w:spacing w:line="360" w:lineRule="auto"/>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5.2乙方的权利和义务：</w:t>
      </w:r>
    </w:p>
    <w:p w14:paraId="321B876B">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5.2.1中标人运营期间独立自主经营、自负盈亏、独立核算、责任自担。</w:t>
      </w:r>
    </w:p>
    <w:p w14:paraId="7B096EE6">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5.2.2中标人按招标文件规定获得采购人给付的经费。</w:t>
      </w:r>
    </w:p>
    <w:p w14:paraId="1552838D">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5.2.3除必须且经采购人同意外，中标人不得将经营权或其中部分向第三方进行转包、分包。</w:t>
      </w:r>
    </w:p>
    <w:p w14:paraId="07A257FC">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5.2.4中标人运营管理期间，享有对滨海县通榆养老服务中心资产的使用权，但不得将滨海县通榆养老服务中心的资产擅自挪出滨海县通榆养老服务中心或移作他用，不得用滨海县通榆养老服务中心的资产作任何抵押、担保、贷款，不得以滨海县通榆养老服务中心的名义向外借款或者为他人提供担保。中标人在运营管理期间产生的债权、债务均由中标人负责和清偿，与采购人无关。</w:t>
      </w:r>
    </w:p>
    <w:p w14:paraId="3E4D10A1">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5.2.5中标人无条件接受相关政府部门、采购人及采购人委托的第三方业务指导、监督管理、检查考评、观摩调研等工作。</w:t>
      </w:r>
    </w:p>
    <w:p w14:paraId="2A4FD371">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5.2.6中标人优先供养特困人员，无条件接收采购人安排的符合入住养老机构条件的特困人员，用于特困人员供养床位不少于总床位的70%，富余床位可以收住社会人员。</w:t>
      </w:r>
    </w:p>
    <w:p w14:paraId="6D0B6755">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5.2.7中标人运营期间，必须无条件接纳采购人（</w:t>
      </w:r>
      <w:r>
        <w:rPr>
          <w:rFonts w:hint="eastAsia" w:ascii="宋体" w:hAnsi="宋体" w:cs="宋体"/>
          <w:color w:val="auto"/>
          <w:sz w:val="24"/>
          <w:szCs w:val="24"/>
          <w:highlight w:val="none"/>
          <w:lang w:eastAsia="zh-CN"/>
        </w:rPr>
        <w:t>签订合同</w:t>
      </w:r>
      <w:r>
        <w:rPr>
          <w:rFonts w:hint="eastAsia" w:ascii="宋体" w:hAnsi="宋体" w:eastAsia="宋体" w:cs="宋体"/>
          <w:color w:val="auto"/>
          <w:sz w:val="24"/>
          <w:szCs w:val="24"/>
          <w:highlight w:val="none"/>
        </w:rPr>
        <w:t>人）、产权人等单位派驻的监管人员，派驻人员主要负责滨海县通榆养老服务中心伙食监督、服务监督、特困人员利益维护、固定资产检查、合理设施设备增加更换、与相关镇工作协调、矛盾调处等工作，派驻人员工资无须中标人承担。</w:t>
      </w:r>
    </w:p>
    <w:p w14:paraId="54EC8F92">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5.2.8运营管理期间，中标人应加强安全管理工作，对滨海县通榆养老服务中心工作人员、入住人员、第三人的安全负责；中标人运营中应加强设施设备维护保养和人员安全教育，如发生安全事故，因此产生的一切责任由中标人自行承担，与采购人无关。</w:t>
      </w:r>
      <w:r>
        <w:rPr>
          <w:rFonts w:hint="eastAsia" w:ascii="宋体" w:hAnsi="宋体" w:eastAsia="宋体" w:cs="宋体"/>
          <w:b/>
          <w:bCs/>
          <w:color w:val="auto"/>
          <w:sz w:val="24"/>
          <w:szCs w:val="24"/>
          <w:highlight w:val="none"/>
        </w:rPr>
        <w:t>但因产权人提供的项目资产、基础设备设施存在重大质量问题与安全隐患而导致的责任由产权人承担。</w:t>
      </w:r>
    </w:p>
    <w:p w14:paraId="3425A08B">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5.2.9</w:t>
      </w:r>
      <w:r>
        <w:rPr>
          <w:rFonts w:hint="eastAsia" w:ascii="宋体" w:hAnsi="宋体" w:cs="宋体"/>
          <w:color w:val="auto"/>
          <w:sz w:val="24"/>
          <w:szCs w:val="24"/>
          <w:highlight w:val="none"/>
          <w:lang w:val="en-US" w:eastAsia="zh-CN"/>
        </w:rPr>
        <w:t>运营管理期间，中标人须建立健全院内秩序与安全管理制度，加强在院老人日常教育与巡查管控，严禁老人赌博、酗酒、打架斗殴、寻衅滋事等违规行为。对情绪异常、有暴力倾向的老人，应提前做好风险评估、分级照护与干预疏导；发生纠纷或冲突时，须第一时间制止、隔离、安抚，必要时报警并通知家属，留存完整处置记录（含监控、台账、报告）。因管理失职、巡查缺位、处置不当或隐患未及时整改导致老人人身伤害、财产损失或不良事件的，由中标人承担全部责任与相应赔偿。</w:t>
      </w:r>
    </w:p>
    <w:p w14:paraId="51E9BAF8">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5.2.10运营管理期间，中标人应严格按照《养老机构服务安全基本规范》要求，加强在院老人的日常护理，切实做到“防噎食、防食品药品误食、防压疮、防烫伤、防坠床、防跌倒、防他伤和自伤、防走失、防文娱活动意外”等九项规范内容，凡因护理不到位、管理失职、措施缺失或处置不当导致发生安全意外事故的，由中标人承担全部责任及相应赔偿。</w:t>
      </w:r>
    </w:p>
    <w:p w14:paraId="2FE258DE">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5.2.</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采购人对中标人的运营管理情况每季度考核一次，考核细则见附件（采购人有权根据上级政策和县情实际调整考核内容，但与县内</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p>
    <w:p w14:paraId="17510BAE">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中标人运营管理过程中如发生重大损失、重大安全事故以及重大社会负面影响事件的，采购人有权解除合同，上报相关部门追究责任。</w:t>
      </w:r>
    </w:p>
    <w:p w14:paraId="663C4E8C">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中标人在运营期间，须严格按照三级养老机构创建标准提供服务。若建筑及硬件设施未达到标准要求，中标人需提交书面报告及相关证明材料，经产权人论证后，对确定必须改造的项目及时整改到位。</w:t>
      </w:r>
    </w:p>
    <w:p w14:paraId="19C3B23E">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维修及费用承担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合同期内，敬老院床铺、桌椅、厨具、灯具、智能化设备、水电、消防及其他全部设施设备的日常检修、维护、维修工作，所需一切费用均由中标人自行承担。</w:t>
      </w:r>
    </w:p>
    <w:p w14:paraId="59D45460">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特殊情况</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运营期间，如建筑物主体、重大设施设备出现故障，中标人应第一时间排查故障位置、原</w:t>
      </w:r>
      <w:r>
        <w:rPr>
          <w:rFonts w:hint="eastAsia" w:ascii="宋体" w:hAnsi="宋体" w:eastAsia="宋体" w:cs="宋体"/>
          <w:i w:val="0"/>
          <w:iCs w:val="0"/>
          <w:color w:val="auto"/>
          <w:sz w:val="24"/>
          <w:szCs w:val="24"/>
          <w:highlight w:val="none"/>
        </w:rPr>
        <w:t>因并书面报备产权人</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无论是否处于质保期，该类设施的维修仍由中标人负责</w:t>
      </w:r>
      <w:r>
        <w:rPr>
          <w:rFonts w:hint="eastAsia" w:ascii="宋体" w:hAnsi="宋体" w:cs="宋体"/>
          <w:i w:val="0"/>
          <w:iCs w:val="0"/>
          <w:color w:val="auto"/>
          <w:sz w:val="24"/>
          <w:szCs w:val="24"/>
          <w:highlight w:val="none"/>
          <w:lang w:eastAsia="zh-CN"/>
        </w:rPr>
        <w:t>，</w:t>
      </w:r>
      <w:r>
        <w:rPr>
          <w:rFonts w:hint="eastAsia" w:ascii="宋体" w:hAnsi="宋体" w:cs="宋体"/>
          <w:b/>
          <w:bCs/>
          <w:i w:val="0"/>
          <w:iCs w:val="0"/>
          <w:color w:val="auto"/>
          <w:sz w:val="24"/>
          <w:szCs w:val="24"/>
          <w:highlight w:val="none"/>
          <w:lang w:val="en-US" w:eastAsia="zh-CN"/>
        </w:rPr>
        <w:t>同时中标人必须及时进行维修确保设施设备正常运转</w:t>
      </w:r>
      <w:r>
        <w:rPr>
          <w:rFonts w:hint="eastAsia" w:ascii="宋体" w:hAnsi="宋体" w:cs="宋体"/>
          <w:b/>
          <w:bCs/>
          <w:i w:val="0"/>
          <w:iCs w:val="0"/>
          <w:color w:val="auto"/>
          <w:sz w:val="24"/>
          <w:szCs w:val="24"/>
          <w:highlight w:val="none"/>
          <w:lang w:eastAsia="zh-CN"/>
        </w:rPr>
        <w:t>，</w:t>
      </w:r>
      <w:r>
        <w:rPr>
          <w:rFonts w:hint="eastAsia" w:ascii="宋体" w:hAnsi="宋体" w:cs="宋体"/>
          <w:b/>
          <w:bCs/>
          <w:i w:val="0"/>
          <w:iCs w:val="0"/>
          <w:color w:val="auto"/>
          <w:sz w:val="24"/>
          <w:szCs w:val="24"/>
          <w:highlight w:val="none"/>
          <w:lang w:val="en-US" w:eastAsia="zh-CN"/>
        </w:rPr>
        <w:t>否则造成的一切后果由中标人自行承担。</w:t>
      </w:r>
      <w:r>
        <w:rPr>
          <w:rFonts w:hint="eastAsia" w:ascii="宋体" w:hAnsi="宋体" w:eastAsia="宋体" w:cs="宋体"/>
          <w:i w:val="0"/>
          <w:iCs w:val="0"/>
          <w:color w:val="auto"/>
          <w:sz w:val="24"/>
          <w:szCs w:val="24"/>
          <w:highlight w:val="none"/>
        </w:rPr>
        <w:t>若因中标人使用不当、管护失职造成损坏，或发现故障后未及时采取必要、合理措施防止损失扩大，由此产生的全部费用及扩大的损失，均由中标人自行承担。</w:t>
      </w:r>
    </w:p>
    <w:p w14:paraId="799AE69D">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5.2.1</w:t>
      </w:r>
      <w:r>
        <w:rPr>
          <w:rFonts w:hint="eastAsia" w:ascii="宋体" w:hAnsi="宋体" w:cs="宋体"/>
          <w:i w:val="0"/>
          <w:iCs w:val="0"/>
          <w:color w:val="auto"/>
          <w:sz w:val="24"/>
          <w:szCs w:val="24"/>
          <w:highlight w:val="none"/>
          <w:lang w:val="en-US" w:eastAsia="zh-CN"/>
        </w:rPr>
        <w:t>4</w:t>
      </w:r>
      <w:r>
        <w:rPr>
          <w:rFonts w:hint="eastAsia" w:ascii="宋体" w:hAnsi="宋体" w:eastAsia="宋体" w:cs="宋体"/>
          <w:i w:val="0"/>
          <w:iCs w:val="0"/>
          <w:color w:val="auto"/>
          <w:sz w:val="24"/>
          <w:szCs w:val="24"/>
          <w:highlight w:val="none"/>
        </w:rPr>
        <w:t>中标人运营管理期间，每年年末产权人有权进行清产核资，如果出现中标人人为损坏的，中标人在资产损坏后的一个月内补足到位。</w:t>
      </w:r>
    </w:p>
    <w:p w14:paraId="3B6E8A92">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5.2.</w:t>
      </w:r>
      <w:r>
        <w:rPr>
          <w:rFonts w:hint="eastAsia" w:ascii="宋体" w:hAnsi="宋体" w:cs="宋体"/>
          <w:i w:val="0"/>
          <w:iCs w:val="0"/>
          <w:color w:val="auto"/>
          <w:sz w:val="24"/>
          <w:szCs w:val="24"/>
          <w:highlight w:val="none"/>
          <w:lang w:val="en-US" w:eastAsia="zh-CN"/>
        </w:rPr>
        <w:t>15</w:t>
      </w:r>
      <w:r>
        <w:rPr>
          <w:rFonts w:hint="eastAsia" w:ascii="宋体" w:hAnsi="宋体" w:eastAsia="宋体" w:cs="宋体"/>
          <w:i w:val="0"/>
          <w:iCs w:val="0"/>
          <w:color w:val="auto"/>
          <w:sz w:val="24"/>
          <w:szCs w:val="24"/>
          <w:highlight w:val="none"/>
        </w:rPr>
        <w:t>未经采购人或产权人同意，中标人擅自改变建筑物结构，擅自在室外进行扩建改造，采购人和产权人有权下达恢复原状通知书，如中标人未恢复到位，采购人有权终止合同；如给采购人或产权人造成损失，中标人应予以赔偿。</w:t>
      </w:r>
    </w:p>
    <w:p w14:paraId="3FEF7278">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5.2.1</w:t>
      </w:r>
      <w:r>
        <w:rPr>
          <w:rFonts w:hint="eastAsia" w:ascii="宋体" w:hAnsi="宋体" w:cs="宋体"/>
          <w:i w:val="0"/>
          <w:iCs w:val="0"/>
          <w:color w:val="auto"/>
          <w:sz w:val="24"/>
          <w:szCs w:val="24"/>
          <w:highlight w:val="none"/>
          <w:lang w:val="en-US" w:eastAsia="zh-CN"/>
        </w:rPr>
        <w:t>6</w:t>
      </w:r>
      <w:r>
        <w:rPr>
          <w:rFonts w:hint="eastAsia" w:ascii="宋体" w:hAnsi="宋体" w:eastAsia="宋体" w:cs="宋体"/>
          <w:i w:val="0"/>
          <w:iCs w:val="0"/>
          <w:color w:val="auto"/>
          <w:sz w:val="24"/>
          <w:szCs w:val="24"/>
          <w:highlight w:val="none"/>
        </w:rPr>
        <w:t>中标人运营期满后10日内，中标人应将属于滨海县通榆养老服务中心的建筑、场地、设施设备等交还采购人或产权人，如有损坏或丢失（设备超出使用年限自然损耗的不计在内），中标人应负责修复或折价赔偿。中标人运营期满后，如中标人没有取得下一期经营权的，或因中标人原因依法提前解除本合同的，中标人在运营期内投入的所有可移动设备可以自行处理，但对院内的一切设备环境不得有任何损坏，否则照价赔偿。如运营期满10日内中标人未将滨海县通榆养老服务中心交还采购人、未处置自有物品，每逾期一天支付采购人1万元违约金，如超过15日，视为中标人放弃滨海县通榆养老服务中心内自有物品所有权，采购人无需经过中标人同意有权直接处置。</w:t>
      </w:r>
    </w:p>
    <w:p w14:paraId="659358BE">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5.2.1</w:t>
      </w:r>
      <w:r>
        <w:rPr>
          <w:rFonts w:hint="eastAsia" w:ascii="宋体" w:hAnsi="宋体" w:cs="宋体"/>
          <w:i w:val="0"/>
          <w:iCs w:val="0"/>
          <w:color w:val="auto"/>
          <w:sz w:val="24"/>
          <w:szCs w:val="24"/>
          <w:highlight w:val="none"/>
          <w:lang w:val="en-US" w:eastAsia="zh-CN"/>
        </w:rPr>
        <w:t>7</w:t>
      </w:r>
      <w:r>
        <w:rPr>
          <w:rFonts w:hint="eastAsia" w:ascii="宋体" w:hAnsi="宋体" w:eastAsia="宋体" w:cs="宋体"/>
          <w:i w:val="0"/>
          <w:iCs w:val="0"/>
          <w:color w:val="auto"/>
          <w:sz w:val="24"/>
          <w:szCs w:val="24"/>
          <w:highlight w:val="none"/>
          <w:lang w:val="en-US" w:eastAsia="zh-CN"/>
        </w:rPr>
        <w:t>中标人</w:t>
      </w:r>
      <w:r>
        <w:rPr>
          <w:rFonts w:hint="eastAsia" w:ascii="宋体" w:hAnsi="宋体" w:eastAsia="宋体" w:cs="宋体"/>
          <w:i w:val="0"/>
          <w:iCs w:val="0"/>
          <w:color w:val="auto"/>
          <w:sz w:val="24"/>
          <w:szCs w:val="24"/>
          <w:highlight w:val="none"/>
        </w:rPr>
        <w:t>须严格按照国家及行业相关管理规定足额配备专业技术人员，所有在岗作业人员必须持有效从业资格证书上岗，严格落实人证合一、人证相符，严禁无证上岗、证件不符、挂证顶岗等违规行为。</w:t>
      </w:r>
    </w:p>
    <w:p w14:paraId="44948E41">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5.2.18运营管理期间，项目所需现场用水、用电保障，以及所有驻场工作人员工作餐安排及相关费用，全部由中标单位全权负责并承担一切费用。</w:t>
      </w:r>
    </w:p>
    <w:p w14:paraId="31552326">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default"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5.2.19为便利日常工作及老人就医，由通榆镇卫生院派驻医护人员，负责院内老人健康日常监测；老人就医护理相关工作由中标单位全权负责。</w:t>
      </w:r>
    </w:p>
    <w:p w14:paraId="665D8EF4">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default"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5.2.20运营管理期间，如需出院治疗的原则上到县内二级及以上公立医院治疗，保证就医质量和安全，县内二级及以上公立医院的陪护、护理人员及相关费用均由中标人负责。</w:t>
      </w:r>
    </w:p>
    <w:p w14:paraId="762A1A05">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六、费用结算</w:t>
      </w:r>
    </w:p>
    <w:p w14:paraId="71B4B8C1">
      <w:pPr>
        <w:pStyle w:val="39"/>
        <w:keepNext w:val="0"/>
        <w:keepLines w:val="0"/>
        <w:pageBreakBefore w:val="0"/>
        <w:kinsoku/>
        <w:wordWrap/>
        <w:overflowPunct/>
        <w:topLinePunct w:val="0"/>
        <w:autoSpaceDE/>
        <w:autoSpaceDN/>
        <w:bidi w:val="0"/>
        <w:adjustRightInd/>
        <w:spacing w:before="0" w:beforeAutospacing="0" w:after="0" w:afterAutospacing="0" w:line="360" w:lineRule="auto"/>
        <w:ind w:lef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6.1合同款项的支付方式及进度安排</w:t>
      </w:r>
    </w:p>
    <w:p w14:paraId="036D9B9F">
      <w:pPr>
        <w:pStyle w:val="39"/>
        <w:keepNext w:val="0"/>
        <w:keepLines w:val="0"/>
        <w:pageBreakBefore w:val="0"/>
        <w:kinsoku/>
        <w:wordWrap/>
        <w:overflowPunct/>
        <w:topLinePunct w:val="0"/>
        <w:autoSpaceDE/>
        <w:autoSpaceDN/>
        <w:bidi w:val="0"/>
        <w:adjustRightInd/>
        <w:spacing w:before="0" w:beforeAutospacing="0" w:after="0" w:afterAutospacing="0" w:line="360" w:lineRule="auto"/>
        <w:ind w:lef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6.1.1 本项目落实预付款制度，预付款比例为</w:t>
      </w:r>
      <w:r>
        <w:rPr>
          <w:rFonts w:hint="eastAsia" w:cs="宋体"/>
          <w:i w:val="0"/>
          <w:iCs w:val="0"/>
          <w:color w:val="auto"/>
          <w:kern w:val="2"/>
          <w:sz w:val="24"/>
          <w:szCs w:val="24"/>
          <w:highlight w:val="none"/>
          <w:lang w:val="en-US" w:eastAsia="zh-CN" w:bidi="ar-SA"/>
        </w:rPr>
        <w:t>1</w:t>
      </w:r>
      <w:r>
        <w:rPr>
          <w:rFonts w:hint="eastAsia" w:ascii="宋体" w:hAnsi="宋体" w:eastAsia="宋体" w:cs="宋体"/>
          <w:i w:val="0"/>
          <w:iCs w:val="0"/>
          <w:color w:val="auto"/>
          <w:kern w:val="2"/>
          <w:sz w:val="24"/>
          <w:szCs w:val="24"/>
          <w:highlight w:val="none"/>
          <w:lang w:val="en-US" w:eastAsia="zh-CN" w:bidi="ar-SA"/>
        </w:rPr>
        <w:t>0%。在签订合同时，中标、成交供应商明确书面表示无需预付款或者主动要求降低预付款比例的，采购人可就预付款比例作相应调整。</w:t>
      </w:r>
    </w:p>
    <w:p w14:paraId="030C75E1">
      <w:pPr>
        <w:pStyle w:val="39"/>
        <w:keepNext w:val="0"/>
        <w:keepLines w:val="0"/>
        <w:pageBreakBefore w:val="0"/>
        <w:kinsoku/>
        <w:wordWrap/>
        <w:overflowPunct/>
        <w:topLinePunct w:val="0"/>
        <w:autoSpaceDE/>
        <w:autoSpaceDN/>
        <w:bidi w:val="0"/>
        <w:adjustRightInd/>
        <w:spacing w:before="0" w:beforeAutospacing="0" w:after="0" w:afterAutospacing="0" w:line="360" w:lineRule="auto"/>
        <w:ind w:lef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注：</w:t>
      </w:r>
    </w:p>
    <w:p w14:paraId="2076C52F">
      <w:pPr>
        <w:pStyle w:val="39"/>
        <w:keepNext w:val="0"/>
        <w:keepLines w:val="0"/>
        <w:pageBreakBefore w:val="0"/>
        <w:kinsoku/>
        <w:wordWrap/>
        <w:overflowPunct/>
        <w:topLinePunct w:val="0"/>
        <w:autoSpaceDE/>
        <w:autoSpaceDN/>
        <w:bidi w:val="0"/>
        <w:adjustRightInd/>
        <w:spacing w:before="0" w:beforeAutospacing="0" w:after="0" w:afterAutospacing="0" w:line="360" w:lineRule="auto"/>
        <w:ind w:lef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（1）乙方须提供同等金额的预付款见索即付银行保函，保函有效期需至本合同约定的预付款（合同金额的</w:t>
      </w:r>
      <w:r>
        <w:rPr>
          <w:rFonts w:hint="eastAsia" w:cs="宋体"/>
          <w:i w:val="0"/>
          <w:iCs w:val="0"/>
          <w:color w:val="auto"/>
          <w:kern w:val="2"/>
          <w:sz w:val="24"/>
          <w:szCs w:val="24"/>
          <w:highlight w:val="none"/>
          <w:lang w:val="en-US" w:eastAsia="zh-CN" w:bidi="ar-SA"/>
        </w:rPr>
        <w:t>1</w:t>
      </w:r>
      <w:r>
        <w:rPr>
          <w:rFonts w:hint="eastAsia" w:ascii="宋体" w:hAnsi="宋体" w:eastAsia="宋体" w:cs="宋体"/>
          <w:i w:val="0"/>
          <w:iCs w:val="0"/>
          <w:color w:val="auto"/>
          <w:kern w:val="2"/>
          <w:sz w:val="24"/>
          <w:szCs w:val="24"/>
          <w:highlight w:val="none"/>
          <w:lang w:val="en-US" w:eastAsia="zh-CN" w:bidi="ar-SA"/>
        </w:rPr>
        <w:t>0%）全部扣回完毕之日止，若保函有效期届满时预付款尚未扣回，乙方需提前15个工作日更换有效期更长的保函，否则甲方有权暂停支付后续款项。</w:t>
      </w:r>
    </w:p>
    <w:p w14:paraId="0555AEE6">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2采购人根据中标人收住特困人员类别和人数，按月给付供养经费（由采购人当月提请财政部门给付）；按季度给付除供养经费之外的</w:t>
      </w:r>
      <w:r>
        <w:rPr>
          <w:rFonts w:hint="eastAsia" w:hAnsi="宋体" w:cs="宋体"/>
          <w:i w:val="0"/>
          <w:iCs w:val="0"/>
          <w:color w:val="auto"/>
          <w:sz w:val="24"/>
          <w:szCs w:val="24"/>
          <w:highlight w:val="none"/>
          <w:lang w:eastAsia="zh-CN"/>
        </w:rPr>
        <w:t>其他</w:t>
      </w:r>
      <w:r>
        <w:rPr>
          <w:rFonts w:hint="eastAsia" w:ascii="宋体" w:hAnsi="宋体" w:eastAsia="宋体" w:cs="宋体"/>
          <w:i w:val="0"/>
          <w:iCs w:val="0"/>
          <w:color w:val="auto"/>
          <w:sz w:val="24"/>
          <w:szCs w:val="24"/>
          <w:highlight w:val="none"/>
        </w:rPr>
        <w:t>运营经费，每季度第一个月，根据上季度中标人收住特困人员类别、人数、考评结果等因素，给付上季度相关运营经费。中标人提供相应税务发票或凭证。</w:t>
      </w:r>
    </w:p>
    <w:p w14:paraId="42006243">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w:t>
      </w: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rPr>
        <w:t>3合同期的最后一个季度运营经费暂不给付，待中标人按照采购人要求交接好相关设施设备、数据、资料后拨付。</w:t>
      </w:r>
    </w:p>
    <w:p w14:paraId="67730976">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w:t>
      </w: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rPr>
        <w:t>中标人如将富余床位收住除民政服务对象及国家出台优惠政策对象以外的社会人员，其收费金额的30%作为租金付给产权方。</w:t>
      </w:r>
    </w:p>
    <w:p w14:paraId="13A66A64">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6.</w:t>
      </w:r>
      <w:r>
        <w:rPr>
          <w:rFonts w:hint="eastAsia" w:ascii="宋体" w:hAnsi="宋体" w:eastAsia="宋体" w:cs="宋体"/>
          <w:i w:val="0"/>
          <w:iCs w:val="0"/>
          <w:color w:val="auto"/>
          <w:sz w:val="24"/>
          <w:szCs w:val="24"/>
          <w:highlight w:val="none"/>
          <w:lang w:val="en-US" w:eastAsia="zh-CN"/>
        </w:rPr>
        <w:t>3</w:t>
      </w:r>
      <w:r>
        <w:rPr>
          <w:rFonts w:hint="eastAsia" w:ascii="宋体" w:hAnsi="宋体" w:eastAsia="宋体" w:cs="宋体"/>
          <w:i w:val="0"/>
          <w:iCs w:val="0"/>
          <w:color w:val="auto"/>
          <w:sz w:val="24"/>
          <w:szCs w:val="24"/>
          <w:highlight w:val="none"/>
        </w:rPr>
        <w:t>采购人对中标人的运营管理情况每季度考核一次，考核细则见附件（采购人有权根据上级政策和县情实际调整考核内容，但与县内</w:t>
      </w:r>
      <w:r>
        <w:rPr>
          <w:rFonts w:hint="eastAsia" w:hAnsi="宋体" w:cs="宋体"/>
          <w:i w:val="0"/>
          <w:iCs w:val="0"/>
          <w:color w:val="auto"/>
          <w:sz w:val="24"/>
          <w:szCs w:val="24"/>
          <w:highlight w:val="none"/>
          <w:lang w:eastAsia="zh-CN"/>
        </w:rPr>
        <w:t>其他</w:t>
      </w:r>
      <w:r>
        <w:rPr>
          <w:rFonts w:hint="eastAsia" w:ascii="宋体" w:hAnsi="宋体" w:eastAsia="宋体" w:cs="宋体"/>
          <w:i w:val="0"/>
          <w:iCs w:val="0"/>
          <w:color w:val="auto"/>
          <w:sz w:val="24"/>
          <w:szCs w:val="24"/>
          <w:highlight w:val="none"/>
        </w:rPr>
        <w:t>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p>
    <w:p w14:paraId="454E4761">
      <w:pPr>
        <w:keepNext w:val="0"/>
        <w:keepLines w:val="0"/>
        <w:pageBreakBefore w:val="0"/>
        <w:shd w:val="clear" w:color="auto" w:fill="FFFFFF"/>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bCs/>
          <w:i w:val="0"/>
          <w:iCs w:val="0"/>
          <w:color w:val="auto"/>
          <w:sz w:val="24"/>
          <w:szCs w:val="24"/>
          <w:highlight w:val="none"/>
        </w:rPr>
      </w:pPr>
      <w:r>
        <w:rPr>
          <w:rFonts w:hint="eastAsia" w:ascii="宋体" w:hAnsi="宋体" w:eastAsia="宋体" w:cs="宋体"/>
          <w:bCs/>
          <w:i w:val="0"/>
          <w:iCs w:val="0"/>
          <w:color w:val="auto"/>
          <w:sz w:val="24"/>
          <w:szCs w:val="24"/>
          <w:highlight w:val="none"/>
        </w:rPr>
        <w:t>合同在履约过程中发生争议由双方协商解决，协商不成依法向滨海县人民法院起诉。</w:t>
      </w:r>
    </w:p>
    <w:p w14:paraId="2E1BD073">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eastAsia="zh-CN"/>
        </w:rPr>
        <w:t>七、其他约定</w:t>
      </w:r>
      <w:r>
        <w:rPr>
          <w:rFonts w:hint="eastAsia" w:ascii="宋体" w:hAnsi="宋体" w:eastAsia="宋体" w:cs="宋体"/>
          <w:i w:val="0"/>
          <w:iCs w:val="0"/>
          <w:color w:val="auto"/>
          <w:sz w:val="24"/>
          <w:szCs w:val="24"/>
          <w:highlight w:val="none"/>
        </w:rPr>
        <w:t>：</w:t>
      </w:r>
    </w:p>
    <w:p w14:paraId="2CC25C02">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7.1本项目招标文件和乙方投标文件系本合同组成部分，招投标文件没有规定或规定不明的，按本合同约定执行。</w:t>
      </w:r>
    </w:p>
    <w:p w14:paraId="50D775EF">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7.2乙方不得将老人信息透露或公开给任何第三方，由此产生的一切责任由乙方承担。如确因工作需要透露或公开的,应先征得甲方书面同意。</w:t>
      </w:r>
    </w:p>
    <w:p w14:paraId="542B0F74">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7.3 除非得到甲方的书面同意，乙方不得将全部或部分服务分包给他人。乙方擅自转包或分包的，甲方有权单方拒付服务费，并终止合同履行。</w:t>
      </w:r>
    </w:p>
    <w:p w14:paraId="4E0079DA">
      <w:pPr>
        <w:pStyle w:val="42"/>
        <w:keepNext w:val="0"/>
        <w:keepLines w:val="0"/>
        <w:pageBreakBefore w:val="0"/>
        <w:kinsoku/>
        <w:wordWrap/>
        <w:overflowPunct/>
        <w:topLinePunct w:val="0"/>
        <w:autoSpaceDE/>
        <w:autoSpaceDN/>
        <w:bidi w:val="0"/>
        <w:adjustRightInd/>
        <w:spacing w:line="360" w:lineRule="auto"/>
        <w:ind w:left="0" w:firstLine="482"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7.4 甲方应在合同期前满前及时组织下一期服务方采购招标工作，如未能及时完成第三方服务机构采购招标工作，由乙方继续按照本协议约定运营至甲方服务方采购招标结束进场止。</w:t>
      </w:r>
    </w:p>
    <w:p w14:paraId="5DB0104F">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八、违约责任：</w:t>
      </w:r>
    </w:p>
    <w:p w14:paraId="3EE87150">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8.1甲方无正当理由终止乙方开展服务的，按未履行相应价款百分之五承担违约金；甲方无正当理由逾期付款的,按逾期付款总额每日万分之四承担违约金。</w:t>
      </w:r>
    </w:p>
    <w:p w14:paraId="4D0CB37A">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8.2、由于乙方原因导致本合同不能履行或不能继续履行的，乙方按未履行相应价款百分之五承担违约金，如违约金不能弥补甲方经济损失，对于不足部分乙方承担赔偿责任。</w:t>
      </w:r>
    </w:p>
    <w:p w14:paraId="555B3611">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九、争议处理</w:t>
      </w:r>
    </w:p>
    <w:p w14:paraId="2FE6BADD">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9.1本合同在履行过程中如发生争议，双方协商解决，如协议不成，任何一方均可向滨海县人民法院提起诉讼。</w:t>
      </w:r>
    </w:p>
    <w:p w14:paraId="13CD4683">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9.2如争议系一方违约造成的，另一方为主张权利所支出的包括律师代理费在内的一切经济损失均由违约一方承担。 </w:t>
      </w:r>
    </w:p>
    <w:p w14:paraId="3E6A2C30">
      <w:pPr>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十、合同生效及其它</w:t>
      </w:r>
    </w:p>
    <w:p w14:paraId="2A73EB26">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合同经双方法定代表人或授权委托代表人签字并加盖单位公章后生效。</w:t>
      </w:r>
    </w:p>
    <w:p w14:paraId="2D8CE357">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10.2本合同未尽事宜，遵照《中华人民共和国民法典》有关条文执行。</w:t>
      </w:r>
    </w:p>
    <w:p w14:paraId="5724DE44">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本合同正本一式</w:t>
      </w:r>
      <w:r>
        <w:rPr>
          <w:rFonts w:hint="eastAsia" w:ascii="宋体" w:hAnsi="宋体" w:cs="宋体"/>
          <w:color w:val="auto"/>
          <w:sz w:val="24"/>
          <w:szCs w:val="24"/>
          <w:highlight w:val="none"/>
          <w:lang w:val="en-US" w:eastAsia="zh-CN"/>
        </w:rPr>
        <w:t>六</w:t>
      </w:r>
      <w:r>
        <w:rPr>
          <w:rFonts w:hint="eastAsia" w:ascii="宋体" w:hAnsi="宋体" w:eastAsia="宋体" w:cs="宋体"/>
          <w:color w:val="auto"/>
          <w:sz w:val="24"/>
          <w:szCs w:val="24"/>
          <w:highlight w:val="none"/>
        </w:rPr>
        <w:t>份，具有同等法律效力，甲方、乙方、</w:t>
      </w:r>
      <w:r>
        <w:rPr>
          <w:rFonts w:hint="eastAsia" w:ascii="宋体" w:hAnsi="宋体" w:cs="宋体"/>
          <w:color w:val="auto"/>
          <w:sz w:val="24"/>
          <w:szCs w:val="24"/>
          <w:highlight w:val="none"/>
          <w:lang w:val="en-US" w:eastAsia="zh-CN"/>
        </w:rPr>
        <w:t>丙方</w:t>
      </w:r>
      <w:r>
        <w:rPr>
          <w:rFonts w:hint="eastAsia" w:ascii="宋体" w:hAnsi="宋体" w:eastAsia="宋体" w:cs="宋体"/>
          <w:color w:val="auto"/>
          <w:sz w:val="24"/>
          <w:szCs w:val="24"/>
          <w:highlight w:val="none"/>
        </w:rPr>
        <w:t>财政监管部门、公共资源交易中心、各执一份。</w:t>
      </w:r>
    </w:p>
    <w:p w14:paraId="42C837D8">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甲方：                  乙方： </w:t>
      </w:r>
      <w:r>
        <w:rPr>
          <w:rFonts w:hint="eastAsia" w:hAnsi="宋体" w:cs="宋体"/>
          <w:color w:val="auto"/>
          <w:sz w:val="24"/>
          <w:szCs w:val="24"/>
          <w:highlight w:val="none"/>
          <w:lang w:val="en-US" w:eastAsia="zh-CN"/>
        </w:rPr>
        <w:t xml:space="preserve">              丙</w:t>
      </w:r>
      <w:r>
        <w:rPr>
          <w:rFonts w:hint="eastAsia" w:ascii="宋体" w:hAnsi="宋体" w:eastAsia="宋体" w:cs="宋体"/>
          <w:color w:val="auto"/>
          <w:sz w:val="24"/>
          <w:szCs w:val="24"/>
          <w:highlight w:val="none"/>
        </w:rPr>
        <w:t>方：</w:t>
      </w:r>
    </w:p>
    <w:p w14:paraId="7C7771C2">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  地址：                  地址：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地址：</w:t>
      </w:r>
      <w:r>
        <w:rPr>
          <w:rFonts w:hint="eastAsia" w:hAnsi="宋体" w:cs="宋体"/>
          <w:color w:val="auto"/>
          <w:sz w:val="24"/>
          <w:szCs w:val="24"/>
          <w:highlight w:val="none"/>
          <w:lang w:val="en-US" w:eastAsia="zh-CN"/>
        </w:rPr>
        <w:t xml:space="preserve">  </w:t>
      </w:r>
    </w:p>
    <w:p w14:paraId="1E39B062">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p>
    <w:p w14:paraId="04FEC235">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或授权代表：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或授权代表：</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或授权代表：</w:t>
      </w:r>
    </w:p>
    <w:p w14:paraId="69BA7C64">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                联系电话：</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联系电话：</w:t>
      </w:r>
    </w:p>
    <w:p w14:paraId="4AD7AD4D">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宋体" w:hAnsi="宋体" w:eastAsia="宋体" w:cs="宋体"/>
          <w:color w:val="auto"/>
          <w:sz w:val="24"/>
          <w:szCs w:val="24"/>
          <w:highlight w:val="none"/>
        </w:rPr>
      </w:pPr>
    </w:p>
    <w:p w14:paraId="2D219D76">
      <w:pPr>
        <w:pStyle w:val="23"/>
        <w:keepNext w:val="0"/>
        <w:keepLines w:val="0"/>
        <w:pageBreakBefore w:val="0"/>
        <w:kinsoku/>
        <w:wordWrap/>
        <w:overflowPunct/>
        <w:topLinePunct w:val="0"/>
        <w:autoSpaceDE/>
        <w:autoSpaceDN/>
        <w:bidi w:val="0"/>
        <w:adjustRightInd/>
        <w:snapToGrid w:val="0"/>
        <w:spacing w:line="360" w:lineRule="auto"/>
        <w:ind w:left="0" w:firstLine="480" w:firstLineChars="200"/>
        <w:textAlignment w:val="auto"/>
        <w:rPr>
          <w:rFonts w:hint="eastAsia" w:ascii="黑体" w:eastAsia="黑体"/>
          <w:bCs/>
          <w:color w:val="auto"/>
          <w:sz w:val="48"/>
          <w:szCs w:val="32"/>
          <w:highlight w:val="none"/>
        </w:rPr>
      </w:pPr>
      <w:r>
        <w:rPr>
          <w:rFonts w:hint="eastAsia" w:ascii="宋体" w:hAnsi="宋体" w:eastAsia="宋体" w:cs="宋体"/>
          <w:color w:val="auto"/>
          <w:sz w:val="24"/>
          <w:szCs w:val="24"/>
          <w:highlight w:val="none"/>
        </w:rPr>
        <w:t xml:space="preserve"> 签订日期：      年  月  日</w:t>
      </w:r>
      <w:r>
        <w:rPr>
          <w:rFonts w:hint="eastAsia" w:ascii="黑体" w:eastAsia="黑体"/>
          <w:bCs/>
          <w:color w:val="auto"/>
          <w:sz w:val="48"/>
          <w:szCs w:val="32"/>
          <w:highlight w:val="none"/>
        </w:rPr>
        <w:br w:type="page"/>
      </w:r>
    </w:p>
    <w:p w14:paraId="6A32F9D0">
      <w:pPr>
        <w:pStyle w:val="2"/>
        <w:pageBreakBefore w:val="0"/>
        <w:kinsoku/>
        <w:wordWrap/>
        <w:overflowPunct/>
        <w:topLinePunct w:val="0"/>
        <w:bidi w:val="0"/>
        <w:spacing w:line="360" w:lineRule="auto"/>
        <w:ind w:firstLine="960" w:firstLineChars="200"/>
        <w:jc w:val="center"/>
        <w:textAlignment w:val="auto"/>
        <w:rPr>
          <w:rFonts w:ascii="黑体" w:eastAsia="黑体"/>
          <w:bCs/>
          <w:color w:val="auto"/>
          <w:sz w:val="48"/>
          <w:szCs w:val="32"/>
          <w:highlight w:val="none"/>
        </w:rPr>
      </w:pPr>
      <w:r>
        <w:rPr>
          <w:rFonts w:hint="eastAsia" w:ascii="黑体" w:eastAsia="黑体"/>
          <w:bCs/>
          <w:color w:val="auto"/>
          <w:sz w:val="48"/>
          <w:szCs w:val="32"/>
          <w:highlight w:val="none"/>
        </w:rPr>
        <w:t xml:space="preserve">第四章 </w:t>
      </w:r>
      <w:r>
        <w:rPr>
          <w:rFonts w:hint="eastAsia" w:ascii="黑体" w:eastAsia="黑体"/>
          <w:bCs/>
          <w:color w:val="auto"/>
          <w:sz w:val="48"/>
          <w:szCs w:val="32"/>
          <w:highlight w:val="none"/>
          <w:lang w:val="en-US" w:eastAsia="zh-CN"/>
        </w:rPr>
        <w:t>采购</w:t>
      </w:r>
      <w:r>
        <w:rPr>
          <w:rFonts w:hint="eastAsia" w:ascii="黑体" w:eastAsia="黑体"/>
          <w:bCs/>
          <w:color w:val="auto"/>
          <w:sz w:val="48"/>
          <w:szCs w:val="32"/>
          <w:highlight w:val="none"/>
        </w:rPr>
        <w:t>需求</w:t>
      </w:r>
    </w:p>
    <w:p w14:paraId="2BE77A23">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1.采购需求</w:t>
      </w:r>
    </w:p>
    <w:p w14:paraId="73C3195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滨海县通榆养老服务中心位于滨海县通榆镇阜坎村，滨海县通榆养老服务中心占地15.08亩，建筑面积约12208平方米，床位约220张。滨海县通榆养老服务中心产权为滨海县乡村资产经营有限公司。该机构为全县失能（失智）特困人员定点照护机构，并承担五汛、蔡桥、正红、通榆4镇特困人员集中</w:t>
      </w:r>
      <w:bookmarkEnd w:id="152"/>
      <w:bookmarkEnd w:id="153"/>
      <w:bookmarkEnd w:id="154"/>
      <w:r>
        <w:rPr>
          <w:rFonts w:hint="eastAsia" w:ascii="宋体" w:hAnsi="宋体" w:eastAsia="宋体" w:cs="宋体"/>
          <w:color w:val="auto"/>
          <w:sz w:val="24"/>
          <w:szCs w:val="24"/>
          <w:highlight w:val="none"/>
        </w:rPr>
        <w:t>供养职能，同</w:t>
      </w:r>
      <w:bookmarkStart w:id="155" w:name="_Hlt16619369"/>
      <w:bookmarkEnd w:id="155"/>
      <w:bookmarkStart w:id="156" w:name="_Hlt16619350"/>
      <w:bookmarkStart w:id="157" w:name="_Toc16938590"/>
      <w:bookmarkStart w:id="158" w:name="_Toc120614244"/>
      <w:bookmarkStart w:id="159" w:name="_Toc20823346"/>
      <w:r>
        <w:rPr>
          <w:rFonts w:hint="eastAsia" w:ascii="宋体" w:hAnsi="宋体" w:eastAsia="宋体" w:cs="宋体"/>
          <w:color w:val="auto"/>
          <w:sz w:val="24"/>
          <w:szCs w:val="24"/>
          <w:highlight w:val="none"/>
        </w:rPr>
        <w:t>时也</w:t>
      </w:r>
      <w:bookmarkEnd w:id="156"/>
      <w:r>
        <w:rPr>
          <w:rFonts w:hint="eastAsia" w:ascii="宋体" w:hAnsi="宋体" w:eastAsia="宋体" w:cs="宋体"/>
          <w:color w:val="auto"/>
          <w:sz w:val="24"/>
          <w:szCs w:val="24"/>
          <w:highlight w:val="none"/>
        </w:rPr>
        <w:t>无条件接收全县</w:t>
      </w:r>
      <w:bookmarkEnd w:id="157"/>
      <w:bookmarkEnd w:id="158"/>
      <w:bookmarkEnd w:id="159"/>
      <w:r>
        <w:rPr>
          <w:rFonts w:hint="eastAsia" w:ascii="宋体" w:hAnsi="宋体" w:eastAsia="宋体" w:cs="宋体"/>
          <w:color w:val="auto"/>
          <w:sz w:val="24"/>
          <w:szCs w:val="24"/>
          <w:highlight w:val="none"/>
        </w:rPr>
        <w:t>有</w:t>
      </w:r>
      <w:bookmarkStart w:id="160" w:name="_Toc26554093"/>
      <w:bookmarkStart w:id="161" w:name="_Toc49090575"/>
      <w:r>
        <w:rPr>
          <w:rFonts w:hint="eastAsia" w:ascii="宋体" w:hAnsi="宋体" w:eastAsia="宋体" w:cs="宋体"/>
          <w:color w:val="auto"/>
          <w:sz w:val="24"/>
          <w:szCs w:val="24"/>
          <w:highlight w:val="none"/>
        </w:rPr>
        <w:t>入住意愿的特困人员，在满足特困人员集中供养基础上，富余床位可收住社会人员。通过公开招标方式，招标第三方运营机构。</w:t>
      </w:r>
    </w:p>
    <w:p w14:paraId="76920A73">
      <w:pPr>
        <w:pStyle w:val="42"/>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rPr>
        <w:t>项目概况</w:t>
      </w:r>
    </w:p>
    <w:tbl>
      <w:tblPr>
        <w:tblStyle w:val="44"/>
        <w:tblW w:w="7693" w:type="dxa"/>
        <w:tblInd w:w="0" w:type="dxa"/>
        <w:tblLayout w:type="fixed"/>
        <w:tblCellMar>
          <w:top w:w="0" w:type="dxa"/>
          <w:left w:w="108" w:type="dxa"/>
          <w:bottom w:w="0" w:type="dxa"/>
          <w:right w:w="108" w:type="dxa"/>
        </w:tblCellMar>
      </w:tblPr>
      <w:tblGrid>
        <w:gridCol w:w="1883"/>
        <w:gridCol w:w="5810"/>
      </w:tblGrid>
      <w:tr w14:paraId="73AD2118">
        <w:tblPrEx>
          <w:tblCellMar>
            <w:top w:w="0" w:type="dxa"/>
            <w:left w:w="108" w:type="dxa"/>
            <w:bottom w:w="0" w:type="dxa"/>
            <w:right w:w="108" w:type="dxa"/>
          </w:tblCellMar>
        </w:tblPrEx>
        <w:trPr>
          <w:trHeight w:val="732" w:hRule="atLeast"/>
        </w:trPr>
        <w:tc>
          <w:tcPr>
            <w:tcW w:w="1883" w:type="dxa"/>
            <w:tcBorders>
              <w:top w:val="single" w:color="000000" w:sz="4" w:space="0"/>
              <w:left w:val="single" w:color="000000" w:sz="4" w:space="0"/>
              <w:right w:val="single" w:color="000000" w:sz="4" w:space="0"/>
            </w:tcBorders>
            <w:vAlign w:val="center"/>
          </w:tcPr>
          <w:p w14:paraId="4FA555B7">
            <w:pPr>
              <w:keepNext w:val="0"/>
              <w:keepLines w:val="0"/>
              <w:pageBreakBefore w:val="0"/>
              <w:widowControl w:val="0"/>
              <w:kinsoku/>
              <w:wordWrap/>
              <w:overflowPunct/>
              <w:topLinePunct w:val="0"/>
              <w:autoSpaceDE/>
              <w:autoSpaceDN/>
              <w:bidi w:val="0"/>
              <w:adjustRightInd/>
              <w:spacing w:line="360" w:lineRule="auto"/>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服务类别</w:t>
            </w:r>
          </w:p>
        </w:tc>
        <w:tc>
          <w:tcPr>
            <w:tcW w:w="5810" w:type="dxa"/>
            <w:tcBorders>
              <w:top w:val="single" w:color="000000" w:sz="4" w:space="0"/>
              <w:left w:val="single" w:color="000000" w:sz="4" w:space="0"/>
              <w:right w:val="single" w:color="000000" w:sz="4" w:space="0"/>
            </w:tcBorders>
            <w:vAlign w:val="center"/>
          </w:tcPr>
          <w:p w14:paraId="61AAB346">
            <w:pPr>
              <w:keepNext w:val="0"/>
              <w:keepLines w:val="0"/>
              <w:pageBreakBefore w:val="0"/>
              <w:widowControl w:val="0"/>
              <w:kinsoku/>
              <w:wordWrap/>
              <w:overflowPunct/>
              <w:topLinePunct w:val="0"/>
              <w:autoSpaceDE/>
              <w:autoSpaceDN/>
              <w:bidi w:val="0"/>
              <w:adjustRightInd/>
              <w:spacing w:line="360" w:lineRule="auto"/>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服务人数</w:t>
            </w:r>
          </w:p>
        </w:tc>
      </w:tr>
      <w:tr w14:paraId="61D65744">
        <w:tblPrEx>
          <w:tblCellMar>
            <w:top w:w="0" w:type="dxa"/>
            <w:left w:w="108" w:type="dxa"/>
            <w:bottom w:w="0" w:type="dxa"/>
            <w:right w:w="108" w:type="dxa"/>
          </w:tblCellMar>
        </w:tblPrEx>
        <w:trPr>
          <w:trHeight w:val="490" w:hRule="atLeast"/>
        </w:trPr>
        <w:tc>
          <w:tcPr>
            <w:tcW w:w="1883" w:type="dxa"/>
            <w:tcBorders>
              <w:top w:val="single" w:color="000000" w:sz="4" w:space="0"/>
              <w:left w:val="single" w:color="000000" w:sz="4" w:space="0"/>
              <w:bottom w:val="single" w:color="auto" w:sz="4" w:space="0"/>
              <w:right w:val="single" w:color="000000" w:sz="4" w:space="0"/>
            </w:tcBorders>
            <w:vAlign w:val="center"/>
          </w:tcPr>
          <w:p w14:paraId="0414FE60">
            <w:pPr>
              <w:keepNext w:val="0"/>
              <w:keepLines w:val="0"/>
              <w:pageBreakBefore w:val="0"/>
              <w:widowControl w:val="0"/>
              <w:kinsoku/>
              <w:wordWrap/>
              <w:overflowPunct/>
              <w:topLinePunct w:val="0"/>
              <w:autoSpaceDE/>
              <w:autoSpaceDN/>
              <w:bidi w:val="0"/>
              <w:adjustRightInd/>
              <w:spacing w:line="360" w:lineRule="auto"/>
              <w:ind w:firstLine="480"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自理、轻度失能特困人员</w:t>
            </w:r>
          </w:p>
        </w:tc>
        <w:tc>
          <w:tcPr>
            <w:tcW w:w="5810" w:type="dxa"/>
            <w:tcBorders>
              <w:top w:val="single" w:color="000000" w:sz="4" w:space="0"/>
              <w:left w:val="single" w:color="000000" w:sz="4" w:space="0"/>
              <w:bottom w:val="single" w:color="000000" w:sz="4" w:space="0"/>
              <w:right w:val="single" w:color="000000" w:sz="4" w:space="0"/>
            </w:tcBorders>
            <w:vAlign w:val="center"/>
          </w:tcPr>
          <w:p w14:paraId="32604F47">
            <w:pPr>
              <w:keepNext w:val="0"/>
              <w:keepLines w:val="0"/>
              <w:pageBreakBefore w:val="0"/>
              <w:widowControl w:val="0"/>
              <w:kinsoku/>
              <w:wordWrap/>
              <w:overflowPunct/>
              <w:topLinePunct w:val="0"/>
              <w:autoSpaceDE/>
              <w:autoSpaceDN/>
              <w:bidi w:val="0"/>
              <w:adjustRightInd/>
              <w:spacing w:line="360" w:lineRule="auto"/>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45</w:t>
            </w:r>
            <w:r>
              <w:rPr>
                <w:rFonts w:hint="eastAsia" w:ascii="宋体" w:hAnsi="宋体" w:eastAsia="宋体" w:cs="宋体"/>
                <w:b/>
                <w:bCs/>
                <w:color w:val="auto"/>
                <w:sz w:val="24"/>
                <w:szCs w:val="24"/>
                <w:highlight w:val="none"/>
              </w:rPr>
              <w:t>人</w:t>
            </w:r>
          </w:p>
        </w:tc>
      </w:tr>
      <w:tr w14:paraId="33B6D73D">
        <w:tblPrEx>
          <w:tblCellMar>
            <w:top w:w="0" w:type="dxa"/>
            <w:left w:w="108" w:type="dxa"/>
            <w:bottom w:w="0" w:type="dxa"/>
            <w:right w:w="108" w:type="dxa"/>
          </w:tblCellMar>
        </w:tblPrEx>
        <w:trPr>
          <w:trHeight w:val="634" w:hRule="atLeast"/>
        </w:trPr>
        <w:tc>
          <w:tcPr>
            <w:tcW w:w="1883" w:type="dxa"/>
            <w:tcBorders>
              <w:top w:val="single" w:color="000000" w:sz="4" w:space="0"/>
              <w:left w:val="single" w:color="000000" w:sz="4" w:space="0"/>
              <w:right w:val="single" w:color="000000" w:sz="4" w:space="0"/>
            </w:tcBorders>
            <w:vAlign w:val="center"/>
          </w:tcPr>
          <w:p w14:paraId="470C01AA">
            <w:pPr>
              <w:keepNext w:val="0"/>
              <w:keepLines w:val="0"/>
              <w:pageBreakBefore w:val="0"/>
              <w:widowControl w:val="0"/>
              <w:kinsoku/>
              <w:wordWrap/>
              <w:overflowPunct/>
              <w:topLinePunct w:val="0"/>
              <w:autoSpaceDE/>
              <w:autoSpaceDN/>
              <w:bidi w:val="0"/>
              <w:adjustRightInd/>
              <w:spacing w:line="360" w:lineRule="auto"/>
              <w:ind w:firstLine="480"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中度失能特困人员</w:t>
            </w:r>
          </w:p>
        </w:tc>
        <w:tc>
          <w:tcPr>
            <w:tcW w:w="5810" w:type="dxa"/>
            <w:tcBorders>
              <w:top w:val="single" w:color="000000" w:sz="4" w:space="0"/>
              <w:left w:val="single" w:color="000000" w:sz="4" w:space="0"/>
              <w:right w:val="single" w:color="000000" w:sz="4" w:space="0"/>
            </w:tcBorders>
            <w:vAlign w:val="center"/>
          </w:tcPr>
          <w:p w14:paraId="1AAB9A91">
            <w:pPr>
              <w:keepNext w:val="0"/>
              <w:keepLines w:val="0"/>
              <w:pageBreakBefore w:val="0"/>
              <w:widowControl w:val="0"/>
              <w:kinsoku/>
              <w:wordWrap/>
              <w:overflowPunct/>
              <w:topLinePunct w:val="0"/>
              <w:autoSpaceDE/>
              <w:autoSpaceDN/>
              <w:bidi w:val="0"/>
              <w:adjustRightInd/>
              <w:spacing w:line="360" w:lineRule="auto"/>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35</w:t>
            </w:r>
            <w:r>
              <w:rPr>
                <w:rFonts w:hint="eastAsia" w:ascii="宋体" w:hAnsi="宋体" w:eastAsia="宋体" w:cs="宋体"/>
                <w:b/>
                <w:bCs/>
                <w:color w:val="auto"/>
                <w:sz w:val="24"/>
                <w:szCs w:val="24"/>
                <w:highlight w:val="none"/>
              </w:rPr>
              <w:t>人</w:t>
            </w:r>
          </w:p>
        </w:tc>
      </w:tr>
      <w:tr w14:paraId="099F35F3">
        <w:tblPrEx>
          <w:tblCellMar>
            <w:top w:w="0" w:type="dxa"/>
            <w:left w:w="108" w:type="dxa"/>
            <w:bottom w:w="0" w:type="dxa"/>
            <w:right w:w="108" w:type="dxa"/>
          </w:tblCellMar>
        </w:tblPrEx>
        <w:trPr>
          <w:trHeight w:val="410" w:hRule="atLeast"/>
        </w:trPr>
        <w:tc>
          <w:tcPr>
            <w:tcW w:w="1883" w:type="dxa"/>
            <w:tcBorders>
              <w:top w:val="single" w:color="000000" w:sz="4" w:space="0"/>
              <w:left w:val="single" w:color="000000" w:sz="4" w:space="0"/>
              <w:bottom w:val="single" w:color="000000" w:sz="4" w:space="0"/>
              <w:right w:val="single" w:color="000000" w:sz="4" w:space="0"/>
            </w:tcBorders>
            <w:vAlign w:val="center"/>
          </w:tcPr>
          <w:p w14:paraId="435C2FA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重度失能、完全失能特困人员</w:t>
            </w:r>
          </w:p>
        </w:tc>
        <w:tc>
          <w:tcPr>
            <w:tcW w:w="5810" w:type="dxa"/>
            <w:tcBorders>
              <w:top w:val="single" w:color="000000" w:sz="4" w:space="0"/>
              <w:left w:val="single" w:color="000000" w:sz="4" w:space="0"/>
              <w:bottom w:val="single" w:color="000000" w:sz="4" w:space="0"/>
              <w:right w:val="single" w:color="000000" w:sz="4" w:space="0"/>
            </w:tcBorders>
            <w:vAlign w:val="center"/>
          </w:tcPr>
          <w:p w14:paraId="54AC83FB">
            <w:pPr>
              <w:keepNext w:val="0"/>
              <w:keepLines w:val="0"/>
              <w:pageBreakBefore w:val="0"/>
              <w:widowControl w:val="0"/>
              <w:kinsoku/>
              <w:wordWrap/>
              <w:overflowPunct/>
              <w:topLinePunct w:val="0"/>
              <w:autoSpaceDE/>
              <w:autoSpaceDN/>
              <w:bidi w:val="0"/>
              <w:adjustRightInd/>
              <w:spacing w:line="360" w:lineRule="auto"/>
              <w:ind w:firstLine="482" w:firstLineChars="20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40</w:t>
            </w:r>
            <w:r>
              <w:rPr>
                <w:rFonts w:hint="eastAsia" w:ascii="宋体" w:hAnsi="宋体" w:eastAsia="宋体" w:cs="宋体"/>
                <w:b/>
                <w:bCs/>
                <w:color w:val="auto"/>
                <w:sz w:val="24"/>
                <w:szCs w:val="24"/>
                <w:highlight w:val="none"/>
              </w:rPr>
              <w:t>人</w:t>
            </w:r>
          </w:p>
        </w:tc>
      </w:tr>
    </w:tbl>
    <w:p w14:paraId="18A8D22B">
      <w:pPr>
        <w:pStyle w:val="42"/>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备注：1、以上表格数量为预测数量，最终结算以实际服务数量为准。</w:t>
      </w:r>
    </w:p>
    <w:p w14:paraId="206CBCB8">
      <w:pPr>
        <w:keepNext w:val="0"/>
        <w:keepLines w:val="0"/>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3.服务内容和服务标准</w:t>
      </w:r>
    </w:p>
    <w:p w14:paraId="2F1982D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全县失能（失智）特困人员定点照护机构，并承担五汛、蔡桥、正红、通榆4镇特困人员集中供养职能，同时也无条件接收全县有入住意愿的特困人员，在满足特困人员集中供养基础上，富余床位可收住社会人员。</w:t>
      </w:r>
    </w:p>
    <w:p w14:paraId="06608236">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3.1保障标准</w:t>
      </w:r>
    </w:p>
    <w:p w14:paraId="7DD23B6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3.1.1伙食标准</w:t>
      </w:r>
    </w:p>
    <w:p w14:paraId="3D4F09C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确保特困人员吃饱、吃好，荤素搭配、营养均衡。</w:t>
      </w:r>
      <w:r>
        <w:rPr>
          <w:rFonts w:hint="eastAsia" w:ascii="宋体" w:hAnsi="宋体" w:eastAsia="宋体" w:cs="宋体"/>
          <w:color w:val="auto"/>
          <w:sz w:val="24"/>
          <w:szCs w:val="24"/>
          <w:highlight w:val="none"/>
          <w:lang w:val="en-US" w:eastAsia="zh-CN"/>
        </w:rPr>
        <w:t>特困供养人员伙食标准不低于20元/人·天，</w:t>
      </w:r>
      <w:r>
        <w:rPr>
          <w:rFonts w:hint="eastAsia" w:ascii="宋体" w:hAnsi="宋体" w:eastAsia="宋体" w:cs="宋体"/>
          <w:color w:val="auto"/>
          <w:sz w:val="24"/>
          <w:szCs w:val="24"/>
          <w:highlight w:val="none"/>
        </w:rPr>
        <w:t>对有糖尿病等特殊病人，根据医嘱单独供应饭菜。</w:t>
      </w:r>
    </w:p>
    <w:p w14:paraId="2FC5257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早饭可以是面条（肉丝面、鸡蛋面、鸡腿面等），可以是粥+油条、包子、小菜。</w:t>
      </w:r>
    </w:p>
    <w:p w14:paraId="76641FD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中饭至少两荤一素一汤一饭。</w:t>
      </w:r>
    </w:p>
    <w:p w14:paraId="27DF22C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晚饭可以是米饭+一荤一素一汤，可以是粥+包子+小菜等。</w:t>
      </w:r>
    </w:p>
    <w:p w14:paraId="6DCD627F">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提前制订每周菜谱，做到每天不同样。</w:t>
      </w:r>
    </w:p>
    <w:p w14:paraId="72E400B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3.1.2衣着标准</w:t>
      </w:r>
    </w:p>
    <w:p w14:paraId="793990D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入住一年内（12个月）：每季度为老人添置内外各一套衣服、一双鞋子。</w:t>
      </w:r>
    </w:p>
    <w:p w14:paraId="578CC3D4">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入住一年后：春、夏、春、冬天分别为老人添置内外各一套衣服，鞋子根据需要添置。</w:t>
      </w:r>
    </w:p>
    <w:p w14:paraId="0C25325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床上用品：入住后根据季节变换，各添置2套全新用品，以后根据使用情况更换。</w:t>
      </w:r>
    </w:p>
    <w:p w14:paraId="06A4AA03">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3.1.3住宿标准</w:t>
      </w:r>
    </w:p>
    <w:p w14:paraId="28DF0BA9">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自理、轻度失能、中度失能特困人员，每间住2-3人；重度失能、完全失能特困人员，每大间（2间未隔墙）住4-5人，护理员陪同住宿。</w:t>
      </w:r>
    </w:p>
    <w:p w14:paraId="7263933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按行业标准配足护理员，护理员排班分布在各护理区域，确保24小时有人值班。</w:t>
      </w:r>
    </w:p>
    <w:p w14:paraId="6D9B3CDC">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3.1.4就医标准</w:t>
      </w:r>
    </w:p>
    <w:p w14:paraId="0F4935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签订合同后</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为了工作方便和老人就医及时，</w:t>
      </w:r>
      <w:r>
        <w:rPr>
          <w:rFonts w:hint="eastAsia" w:ascii="宋体" w:hAnsi="宋体" w:eastAsia="宋体" w:cs="宋体"/>
          <w:bCs/>
          <w:color w:val="auto"/>
          <w:sz w:val="24"/>
          <w:szCs w:val="24"/>
          <w:highlight w:val="none"/>
          <w:lang w:val="en-US" w:eastAsia="zh-CN"/>
        </w:rPr>
        <w:t>由通榆镇卫生院派驻医护人员负责院内老人的日常监测及就医</w:t>
      </w:r>
      <w:r>
        <w:rPr>
          <w:rFonts w:hint="eastAsia" w:ascii="宋体" w:hAnsi="宋体" w:cs="宋体"/>
          <w:bCs/>
          <w:color w:val="auto"/>
          <w:sz w:val="24"/>
          <w:szCs w:val="24"/>
          <w:highlight w:val="none"/>
          <w:lang w:val="en-US" w:eastAsia="zh-CN"/>
        </w:rPr>
        <w:t>，其中老人就医护理由中标单位全权负责</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如需出院治疗的原则上到县内二级及以上</w:t>
      </w:r>
      <w:r>
        <w:rPr>
          <w:rFonts w:hint="eastAsia" w:ascii="宋体" w:hAnsi="宋体" w:eastAsia="宋体" w:cs="宋体"/>
          <w:bCs/>
          <w:color w:val="auto"/>
          <w:sz w:val="24"/>
          <w:szCs w:val="24"/>
          <w:highlight w:val="none"/>
          <w:lang w:val="en-US" w:eastAsia="zh-CN"/>
        </w:rPr>
        <w:t>公立</w:t>
      </w:r>
      <w:r>
        <w:rPr>
          <w:rFonts w:hint="eastAsia" w:ascii="宋体" w:hAnsi="宋体" w:eastAsia="宋体" w:cs="宋体"/>
          <w:bCs/>
          <w:color w:val="auto"/>
          <w:sz w:val="24"/>
          <w:szCs w:val="24"/>
          <w:highlight w:val="none"/>
        </w:rPr>
        <w:t>医院治疗，保证就医质量和安全，县内二级及以上</w:t>
      </w:r>
      <w:r>
        <w:rPr>
          <w:rFonts w:hint="eastAsia" w:ascii="宋体" w:hAnsi="宋体" w:eastAsia="宋体" w:cs="宋体"/>
          <w:bCs/>
          <w:color w:val="auto"/>
          <w:sz w:val="24"/>
          <w:szCs w:val="24"/>
          <w:highlight w:val="none"/>
          <w:lang w:val="en-US" w:eastAsia="zh-CN"/>
        </w:rPr>
        <w:t>公立</w:t>
      </w:r>
      <w:r>
        <w:rPr>
          <w:rFonts w:hint="eastAsia" w:ascii="宋体" w:hAnsi="宋体" w:eastAsia="宋体" w:cs="宋体"/>
          <w:bCs/>
          <w:color w:val="auto"/>
          <w:sz w:val="24"/>
          <w:szCs w:val="24"/>
          <w:highlight w:val="none"/>
        </w:rPr>
        <w:t>医院</w:t>
      </w:r>
      <w:r>
        <w:rPr>
          <w:rFonts w:hint="eastAsia" w:ascii="宋体" w:hAnsi="宋体" w:eastAsia="宋体" w:cs="宋体"/>
          <w:bCs/>
          <w:color w:val="auto"/>
          <w:sz w:val="24"/>
          <w:szCs w:val="24"/>
          <w:highlight w:val="none"/>
          <w:lang w:val="en-US" w:eastAsia="zh-CN"/>
        </w:rPr>
        <w:t>的陪护</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护理</w:t>
      </w:r>
      <w:r>
        <w:rPr>
          <w:rFonts w:hint="eastAsia" w:ascii="宋体" w:hAnsi="宋体" w:cs="宋体"/>
          <w:bCs/>
          <w:color w:val="auto"/>
          <w:sz w:val="24"/>
          <w:szCs w:val="24"/>
          <w:highlight w:val="none"/>
          <w:lang w:val="en-US" w:eastAsia="zh-CN"/>
        </w:rPr>
        <w:t>人员及相关费用</w:t>
      </w:r>
      <w:r>
        <w:rPr>
          <w:rFonts w:hint="eastAsia" w:ascii="宋体" w:hAnsi="宋体" w:eastAsia="宋体" w:cs="宋体"/>
          <w:bCs/>
          <w:color w:val="auto"/>
          <w:sz w:val="24"/>
          <w:szCs w:val="24"/>
          <w:highlight w:val="none"/>
          <w:lang w:val="en-US" w:eastAsia="zh-CN"/>
        </w:rPr>
        <w:t>均由中标方负责</w:t>
      </w:r>
      <w:r>
        <w:rPr>
          <w:rFonts w:hint="eastAsia" w:ascii="宋体" w:hAnsi="宋体" w:eastAsia="宋体" w:cs="宋体"/>
          <w:bCs/>
          <w:color w:val="auto"/>
          <w:sz w:val="24"/>
          <w:szCs w:val="24"/>
          <w:highlight w:val="none"/>
        </w:rPr>
        <w:t>;如确需出县治疗的，由入住特困人员所在镇办理相关手续并陪护外出治疗</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项目所需现场用水、用电保障，以及所有驻场工作人员工作餐安排及相关费用，全部由中标单位全权负责并承担一切费用</w:t>
      </w:r>
      <w:r>
        <w:rPr>
          <w:rFonts w:hint="eastAsia" w:ascii="宋体" w:hAnsi="宋体" w:cs="宋体"/>
          <w:bCs/>
          <w:color w:val="auto"/>
          <w:sz w:val="24"/>
          <w:szCs w:val="24"/>
          <w:highlight w:val="none"/>
          <w:lang w:eastAsia="zh-CN"/>
        </w:rPr>
        <w:t>。</w:t>
      </w:r>
    </w:p>
    <w:p w14:paraId="4CD1CF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与县内医院签订医疗协议的医保报销目录内医疗费用经医保报销后的自付金额</w:t>
      </w:r>
      <w:r>
        <w:rPr>
          <w:rFonts w:hint="eastAsia" w:ascii="宋体" w:hAnsi="宋体" w:cs="宋体"/>
          <w:bCs/>
          <w:color w:val="auto"/>
          <w:sz w:val="24"/>
          <w:szCs w:val="24"/>
          <w:highlight w:val="none"/>
          <w:lang w:val="en-US" w:eastAsia="zh-CN"/>
        </w:rPr>
        <w:t>由中标人负责结算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医保报销目录外的医疗费用按照政策不予以报销，由中标方承担。</w:t>
      </w:r>
    </w:p>
    <w:p w14:paraId="44B7CD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中标方</w:t>
      </w:r>
      <w:r>
        <w:rPr>
          <w:rFonts w:hint="eastAsia" w:ascii="宋体" w:hAnsi="宋体" w:eastAsia="宋体" w:cs="宋体"/>
          <w:bCs/>
          <w:color w:val="auto"/>
          <w:sz w:val="24"/>
          <w:szCs w:val="24"/>
          <w:highlight w:val="none"/>
        </w:rPr>
        <w:t>需为失能老年人开展康复训练。</w:t>
      </w:r>
    </w:p>
    <w:p w14:paraId="243B4DA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3.1.5丧葬标准</w:t>
      </w:r>
    </w:p>
    <w:p w14:paraId="490DBA0E">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特困人员病危时，中标人需及时通知特困人员监护人，根据监护人和特困人员本人意愿，选择在</w:t>
      </w:r>
      <w:r>
        <w:rPr>
          <w:rFonts w:hint="eastAsia" w:ascii="宋体" w:hAnsi="宋体" w:eastAsia="宋体" w:cs="宋体"/>
          <w:color w:val="auto"/>
          <w:sz w:val="24"/>
          <w:szCs w:val="24"/>
          <w:highlight w:val="none"/>
        </w:rPr>
        <w:t>滨海县通榆养老服务中心</w:t>
      </w:r>
      <w:r>
        <w:rPr>
          <w:rFonts w:hint="eastAsia" w:ascii="宋体" w:hAnsi="宋体" w:eastAsia="宋体" w:cs="宋体"/>
          <w:bCs/>
          <w:color w:val="auto"/>
          <w:sz w:val="24"/>
          <w:szCs w:val="24"/>
          <w:highlight w:val="none"/>
        </w:rPr>
        <w:t>办理丧事，或回老家办理丧事。如由</w:t>
      </w:r>
      <w:r>
        <w:rPr>
          <w:rFonts w:hint="eastAsia" w:ascii="宋体" w:hAnsi="宋体" w:eastAsia="宋体" w:cs="宋体"/>
          <w:color w:val="auto"/>
          <w:sz w:val="24"/>
          <w:szCs w:val="24"/>
          <w:highlight w:val="none"/>
        </w:rPr>
        <w:t>滨海县通榆养老服务中心</w:t>
      </w:r>
      <w:r>
        <w:rPr>
          <w:rFonts w:hint="eastAsia" w:ascii="宋体" w:hAnsi="宋体" w:eastAsia="宋体" w:cs="宋体"/>
          <w:bCs/>
          <w:color w:val="auto"/>
          <w:sz w:val="24"/>
          <w:szCs w:val="24"/>
          <w:highlight w:val="none"/>
        </w:rPr>
        <w:t>办理丧事，</w:t>
      </w:r>
      <w:r>
        <w:rPr>
          <w:rFonts w:hint="eastAsia" w:ascii="宋体" w:hAnsi="宋体" w:eastAsia="宋体" w:cs="宋体"/>
          <w:bCs/>
          <w:color w:val="auto"/>
          <w:sz w:val="24"/>
          <w:szCs w:val="24"/>
          <w:highlight w:val="none"/>
          <w:u w:val="single"/>
        </w:rPr>
        <w:t>由县民政局限额补助2000元/人。</w:t>
      </w:r>
      <w:r>
        <w:rPr>
          <w:rFonts w:hint="eastAsia" w:ascii="宋体" w:hAnsi="宋体" w:eastAsia="宋体" w:cs="宋体"/>
          <w:bCs/>
          <w:color w:val="auto"/>
          <w:sz w:val="24"/>
          <w:szCs w:val="24"/>
          <w:highlight w:val="none"/>
        </w:rPr>
        <w:t>特困人员墓地由</w:t>
      </w:r>
      <w:r>
        <w:rPr>
          <w:rFonts w:hint="eastAsia" w:ascii="宋体" w:hAnsi="宋体" w:eastAsia="宋体" w:cs="宋体"/>
          <w:bCs/>
          <w:color w:val="auto"/>
          <w:sz w:val="24"/>
          <w:szCs w:val="24"/>
          <w:highlight w:val="none"/>
          <w:lang w:val="en-US" w:eastAsia="zh-CN"/>
        </w:rPr>
        <w:t>所属</w:t>
      </w:r>
      <w:r>
        <w:rPr>
          <w:rFonts w:hint="eastAsia" w:ascii="宋体" w:hAnsi="宋体" w:eastAsia="宋体" w:cs="宋体"/>
          <w:bCs/>
          <w:color w:val="auto"/>
          <w:sz w:val="24"/>
          <w:szCs w:val="24"/>
          <w:highlight w:val="none"/>
        </w:rPr>
        <w:t>镇公益性公墓保障。</w:t>
      </w:r>
    </w:p>
    <w:p w14:paraId="3809580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4、运营及服务标准</w:t>
      </w:r>
    </w:p>
    <w:p w14:paraId="1A0DBD9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中标人要严格按照《江苏省人民政府关于完善特困人员救助供养制度的实施意见》、《农村五保供养服务机构管理办法》、《养老机构管理办法》等目前政策和以后上级部门出台的政策开展运营管理，县民政局将按照《江苏省养老机构等级划分与评定评分细则（第</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rPr>
        <w:t>版）》中主要内容和其它工作要求开展考核，详细见考核细则。</w:t>
      </w:r>
    </w:p>
    <w:p w14:paraId="0062A351">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4.2每年至少组织有活力老年人到县内月亮湾、梨花雨、和平公园等相关景点旅游</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次</w:t>
      </w:r>
      <w:r>
        <w:rPr>
          <w:rFonts w:hint="eastAsia" w:ascii="宋体" w:hAnsi="宋体" w:eastAsia="宋体" w:cs="宋体"/>
          <w:bCs/>
          <w:color w:val="auto"/>
          <w:sz w:val="24"/>
          <w:szCs w:val="24"/>
          <w:highlight w:val="none"/>
          <w:lang w:eastAsia="zh-CN"/>
        </w:rPr>
        <w:t>。</w:t>
      </w:r>
    </w:p>
    <w:p w14:paraId="75779223">
      <w:pPr>
        <w:pStyle w:val="42"/>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4.3每年春节、元宵、重阳等重大节日为在院老人举办不少于2次的文娱活动。</w:t>
      </w:r>
    </w:p>
    <w:p w14:paraId="19880CC5">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4.4</w:t>
      </w:r>
      <w:r>
        <w:rPr>
          <w:rFonts w:hint="eastAsia" w:ascii="宋体" w:hAnsi="宋体" w:eastAsia="宋体" w:cs="宋体"/>
          <w:color w:val="auto"/>
          <w:sz w:val="24"/>
          <w:szCs w:val="24"/>
          <w:highlight w:val="none"/>
        </w:rPr>
        <w:t>中标人运营期间独立自主经营、自负盈亏、独立核算、责任自担。</w:t>
      </w:r>
    </w:p>
    <w:p w14:paraId="457C7FD7">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4.5</w:t>
      </w:r>
      <w:r>
        <w:rPr>
          <w:rFonts w:hint="eastAsia" w:ascii="宋体" w:hAnsi="宋体" w:eastAsia="宋体" w:cs="宋体"/>
          <w:color w:val="auto"/>
          <w:sz w:val="24"/>
          <w:szCs w:val="24"/>
          <w:highlight w:val="none"/>
        </w:rPr>
        <w:t>中标人按招标文件规定获得采购人给付的经费。</w:t>
      </w:r>
    </w:p>
    <w:p w14:paraId="4BE3B4EE">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4.6</w:t>
      </w:r>
      <w:r>
        <w:rPr>
          <w:rFonts w:hint="eastAsia" w:ascii="宋体" w:hAnsi="宋体" w:eastAsia="宋体" w:cs="宋体"/>
          <w:color w:val="auto"/>
          <w:sz w:val="24"/>
          <w:szCs w:val="24"/>
          <w:highlight w:val="none"/>
        </w:rPr>
        <w:t>除必须且经采购人同意外，中标人不得将经营权或其中部分向第三方进行转包、分包。</w:t>
      </w:r>
    </w:p>
    <w:p w14:paraId="11E7595A">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4.7</w:t>
      </w:r>
      <w:r>
        <w:rPr>
          <w:rFonts w:hint="eastAsia" w:ascii="宋体" w:hAnsi="宋体" w:eastAsia="宋体" w:cs="宋体"/>
          <w:color w:val="auto"/>
          <w:sz w:val="24"/>
          <w:szCs w:val="24"/>
          <w:highlight w:val="none"/>
        </w:rPr>
        <w:t>中标人运营管理期间，享有对滨海县通榆养老服务中心资产的使用权，但不得将滨海县通榆养老服务中心的资产擅自挪出滨海县通榆养老服务中心或移作他用，不得用滨海县通榆养老服务中心的资产作任何抵押、担保、贷款，不得以滨海县通榆养老服务中心的名义向外借款或者为他人提供担保。中标人在运营管理期间产生的债权、债务均由中标人负责和清偿，与采购人无关。</w:t>
      </w:r>
    </w:p>
    <w:p w14:paraId="231AB60D">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4.8</w:t>
      </w:r>
      <w:r>
        <w:rPr>
          <w:rFonts w:hint="eastAsia" w:ascii="宋体" w:hAnsi="宋体" w:eastAsia="宋体" w:cs="宋体"/>
          <w:color w:val="auto"/>
          <w:sz w:val="24"/>
          <w:szCs w:val="24"/>
          <w:highlight w:val="none"/>
        </w:rPr>
        <w:t>中标人无条件接受相关政府部门、采购人及采购人委托的第三方业务指导、监督管理、检查考评、观摩调研等工作。</w:t>
      </w:r>
    </w:p>
    <w:p w14:paraId="13E29F90">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4.9</w:t>
      </w:r>
      <w:r>
        <w:rPr>
          <w:rFonts w:hint="eastAsia" w:ascii="宋体" w:hAnsi="宋体" w:eastAsia="宋体" w:cs="宋体"/>
          <w:color w:val="auto"/>
          <w:sz w:val="24"/>
          <w:szCs w:val="24"/>
          <w:highlight w:val="none"/>
        </w:rPr>
        <w:t>中标人优先供养特困人员，无条件接收采购人安排的符合入住养老机构条件的特困人员，用于特困人员供养床位不少于总床位的70%，富余床位可以收住社会人员。</w:t>
      </w:r>
    </w:p>
    <w:p w14:paraId="1BBF033F">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4.10</w:t>
      </w:r>
      <w:r>
        <w:rPr>
          <w:rFonts w:hint="eastAsia" w:ascii="宋体" w:hAnsi="宋体" w:eastAsia="宋体" w:cs="宋体"/>
          <w:color w:val="auto"/>
          <w:sz w:val="24"/>
          <w:szCs w:val="24"/>
          <w:highlight w:val="none"/>
        </w:rPr>
        <w:t>中标人运营期间，必须无条件接纳采购人（</w:t>
      </w:r>
      <w:r>
        <w:rPr>
          <w:rFonts w:hint="eastAsia" w:ascii="宋体" w:hAnsi="宋体" w:cs="宋体"/>
          <w:color w:val="auto"/>
          <w:sz w:val="24"/>
          <w:szCs w:val="24"/>
          <w:highlight w:val="none"/>
          <w:lang w:eastAsia="zh-CN"/>
        </w:rPr>
        <w:t>签订合同</w:t>
      </w:r>
      <w:r>
        <w:rPr>
          <w:rFonts w:hint="eastAsia" w:ascii="宋体" w:hAnsi="宋体" w:eastAsia="宋体" w:cs="宋体"/>
          <w:color w:val="auto"/>
          <w:sz w:val="24"/>
          <w:szCs w:val="24"/>
          <w:highlight w:val="none"/>
        </w:rPr>
        <w:t>人）、产权人等单位派驻的监管人员，派驻人员主要负责滨海县通榆养老服务中心伙食监督、服务监督、特困人员利益维护、固定资产检查、合理设施设备增加更换、与相关镇工作协调、矛盾调处等工作，派驻人员工资无须中标人承担。</w:t>
      </w:r>
    </w:p>
    <w:p w14:paraId="604C4F0A">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4.11</w:t>
      </w:r>
      <w:r>
        <w:rPr>
          <w:rFonts w:hint="eastAsia" w:ascii="宋体" w:hAnsi="宋体" w:eastAsia="宋体" w:cs="宋体"/>
          <w:color w:val="auto"/>
          <w:sz w:val="24"/>
          <w:szCs w:val="24"/>
          <w:highlight w:val="none"/>
        </w:rPr>
        <w:t>运营管理期间，中标人应加强安全管理工作，对滨海县通榆养老服务中心工作人员、入住人员、第三人的安全负责；中标</w:t>
      </w:r>
      <w:r>
        <w:rPr>
          <w:rFonts w:hint="eastAsia" w:ascii="宋体" w:hAnsi="宋体" w:cs="宋体"/>
          <w:color w:val="auto"/>
          <w:sz w:val="24"/>
          <w:szCs w:val="24"/>
          <w:highlight w:val="none"/>
          <w:lang w:eastAsia="zh-CN"/>
        </w:rPr>
        <w:t>人在</w:t>
      </w:r>
      <w:r>
        <w:rPr>
          <w:rFonts w:hint="eastAsia" w:ascii="宋体" w:hAnsi="宋体" w:eastAsia="宋体" w:cs="宋体"/>
          <w:color w:val="auto"/>
          <w:sz w:val="24"/>
          <w:szCs w:val="24"/>
          <w:highlight w:val="none"/>
        </w:rPr>
        <w:t>运营中应加强设施设备维护保养和人员安全教育，如发生安全事故，因此产生的一切责任由中标人自行承担，与采购人无关。</w:t>
      </w:r>
      <w:r>
        <w:rPr>
          <w:rFonts w:hint="eastAsia" w:ascii="宋体" w:hAnsi="宋体" w:eastAsia="宋体" w:cs="宋体"/>
          <w:b/>
          <w:bCs/>
          <w:color w:val="auto"/>
          <w:sz w:val="24"/>
          <w:szCs w:val="24"/>
          <w:highlight w:val="none"/>
        </w:rPr>
        <w:t>但因产权人提供的项目资产、基础设备设施存在重大质量问题与安全隐患而导致的责任由产权人承担。</w:t>
      </w:r>
    </w:p>
    <w:p w14:paraId="2DE5B5AC">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4.12运营管理期间，中标人须建立健全院内秩序与安全管理制度，加强在院老人日常教育与巡查管控，严禁老人赌博、酗酒、打架斗殴、寻衅滋事等违规行为。对情绪异常、有暴力倾向的老人，应提前做好风险评估、分级照护与干预疏导；发生纠纷或冲突时，须第一时间制止、隔离、安抚，必要时报警并通知家属，留存完整处置记录（含监控、台账、报告）。因管理失职、巡查缺位、处置不当或隐患未及时整改导致老人人身伤害、财产损失或不良事件的，由中标人承担全部责任与相应赔偿。</w:t>
      </w:r>
    </w:p>
    <w:p w14:paraId="1087D9BB">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4.13运营管理期间，中标人应严格按照《养老机构服务安全基本规范》要求，加强在院老人的日常护理，切实做到“防噎食、防食品药品误食、防压疮、防烫伤、防坠床、防跌倒、防他伤和自伤、防走失、防文娱活动意外”等九项规范内容，凡因护理不到位、管理失职、措施缺失或处置不当导致发生安全意外事故的，由中标人承担全部责任及相应赔偿。</w:t>
      </w:r>
    </w:p>
    <w:p w14:paraId="4370BB8E">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lang w:val="en-US" w:eastAsia="zh-CN"/>
        </w:rPr>
        <w:t>4.14</w:t>
      </w:r>
      <w:r>
        <w:rPr>
          <w:rFonts w:hint="eastAsia" w:ascii="宋体" w:hAnsi="宋体" w:eastAsia="宋体" w:cs="宋体"/>
          <w:color w:val="auto"/>
          <w:sz w:val="24"/>
          <w:szCs w:val="24"/>
          <w:highlight w:val="none"/>
        </w:rPr>
        <w:t>采购人对中标人的运营管理情况每季度考核一次，考核细则见附件（采购人有权根据上级政策和县情实际调整考核内容，但与县内</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p>
    <w:p w14:paraId="7C9757F3">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4.15</w:t>
      </w:r>
      <w:r>
        <w:rPr>
          <w:rFonts w:hint="eastAsia" w:ascii="宋体" w:hAnsi="宋体" w:eastAsia="宋体" w:cs="宋体"/>
          <w:color w:val="auto"/>
          <w:sz w:val="24"/>
          <w:szCs w:val="24"/>
          <w:highlight w:val="none"/>
        </w:rPr>
        <w:t>中标</w:t>
      </w:r>
      <w:r>
        <w:rPr>
          <w:rFonts w:hint="eastAsia" w:ascii="宋体" w:hAnsi="宋体" w:cs="宋体"/>
          <w:color w:val="auto"/>
          <w:sz w:val="24"/>
          <w:szCs w:val="24"/>
          <w:highlight w:val="none"/>
          <w:lang w:eastAsia="zh-CN"/>
        </w:rPr>
        <w:t>人在</w:t>
      </w:r>
      <w:r>
        <w:rPr>
          <w:rFonts w:hint="eastAsia" w:ascii="宋体" w:hAnsi="宋体" w:eastAsia="宋体" w:cs="宋体"/>
          <w:color w:val="auto"/>
          <w:sz w:val="24"/>
          <w:szCs w:val="24"/>
          <w:highlight w:val="none"/>
        </w:rPr>
        <w:t>运营管理过程中如发生重大损失、重大安全事故以及重大社会负面影响事件的，采购人有权解除合同，上报相关部门追究责任。</w:t>
      </w:r>
    </w:p>
    <w:p w14:paraId="1B1E1BCD">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4.16</w:t>
      </w:r>
      <w:r>
        <w:rPr>
          <w:rFonts w:hint="eastAsia" w:ascii="宋体" w:hAnsi="宋体" w:eastAsia="宋体" w:cs="宋体"/>
          <w:color w:val="auto"/>
          <w:sz w:val="24"/>
          <w:szCs w:val="24"/>
          <w:highlight w:val="none"/>
        </w:rPr>
        <w:t>中标人在运营期间，须严格按照三级养老机构创建标准提供服务。若建筑及硬件设施未达到标准要求，中标人需提交书面报告及相关证明材料，经产权人论证后，对确定必须改造的项目及时整改到位。</w:t>
      </w:r>
    </w:p>
    <w:p w14:paraId="69E76B4F">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维修及费用承担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合同期内，敬老院床铺、桌椅、厨具、灯具、智能化设备、水电、消防及其他全部设施设备的日常检修、维护、维修工作，所需一切费用均由中标人自行承担。</w:t>
      </w:r>
    </w:p>
    <w:p w14:paraId="60FAB68C">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rPr>
        <w:t>特殊情况</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运营期间，如建筑物主体、重大设施设备出现故障，中标人应第一时间排查故障位置、</w:t>
      </w:r>
      <w:r>
        <w:rPr>
          <w:rFonts w:hint="eastAsia" w:ascii="宋体" w:hAnsi="宋体" w:eastAsia="宋体" w:cs="宋体"/>
          <w:i w:val="0"/>
          <w:iCs w:val="0"/>
          <w:color w:val="auto"/>
          <w:sz w:val="24"/>
          <w:szCs w:val="24"/>
          <w:highlight w:val="none"/>
        </w:rPr>
        <w:t>原因并书面报备产权人</w:t>
      </w:r>
      <w:r>
        <w:rPr>
          <w:rFonts w:hint="eastAsia" w:ascii="宋体" w:hAnsi="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rPr>
        <w:t>无论是否处于质保期，该类设施的维修仍由中标人负责</w:t>
      </w:r>
      <w:r>
        <w:rPr>
          <w:rFonts w:hint="eastAsia" w:ascii="宋体" w:hAnsi="宋体" w:cs="宋体"/>
          <w:i w:val="0"/>
          <w:iCs w:val="0"/>
          <w:color w:val="auto"/>
          <w:sz w:val="24"/>
          <w:szCs w:val="24"/>
          <w:highlight w:val="none"/>
          <w:lang w:eastAsia="zh-CN"/>
        </w:rPr>
        <w:t>，</w:t>
      </w:r>
      <w:r>
        <w:rPr>
          <w:rFonts w:hint="eastAsia" w:ascii="宋体" w:hAnsi="宋体" w:cs="宋体"/>
          <w:b/>
          <w:bCs/>
          <w:i w:val="0"/>
          <w:iCs w:val="0"/>
          <w:color w:val="auto"/>
          <w:sz w:val="24"/>
          <w:szCs w:val="24"/>
          <w:highlight w:val="none"/>
          <w:lang w:val="en-US" w:eastAsia="zh-CN"/>
        </w:rPr>
        <w:t>同时中标人必须及时进行维修确保设施设备正常运转</w:t>
      </w:r>
      <w:r>
        <w:rPr>
          <w:rFonts w:hint="eastAsia" w:ascii="宋体" w:hAnsi="宋体" w:cs="宋体"/>
          <w:b/>
          <w:bCs/>
          <w:i w:val="0"/>
          <w:iCs w:val="0"/>
          <w:color w:val="auto"/>
          <w:sz w:val="24"/>
          <w:szCs w:val="24"/>
          <w:highlight w:val="none"/>
          <w:lang w:eastAsia="zh-CN"/>
        </w:rPr>
        <w:t>，</w:t>
      </w:r>
      <w:r>
        <w:rPr>
          <w:rFonts w:hint="eastAsia" w:ascii="宋体" w:hAnsi="宋体" w:cs="宋体"/>
          <w:b/>
          <w:bCs/>
          <w:i w:val="0"/>
          <w:iCs w:val="0"/>
          <w:color w:val="auto"/>
          <w:sz w:val="24"/>
          <w:szCs w:val="24"/>
          <w:highlight w:val="none"/>
          <w:lang w:val="en-US" w:eastAsia="zh-CN"/>
        </w:rPr>
        <w:t>否则造成的一切后果由中标人自行承担。</w:t>
      </w:r>
      <w:r>
        <w:rPr>
          <w:rFonts w:hint="eastAsia" w:ascii="宋体" w:hAnsi="宋体" w:eastAsia="宋体" w:cs="宋体"/>
          <w:i w:val="0"/>
          <w:iCs w:val="0"/>
          <w:color w:val="auto"/>
          <w:sz w:val="24"/>
          <w:szCs w:val="24"/>
          <w:highlight w:val="none"/>
        </w:rPr>
        <w:t>若因中标人使用不当、管护失职造成损坏，或发现故障后未及时采取必要、合理措施防止损失扩大，由此产生的</w:t>
      </w:r>
      <w:r>
        <w:rPr>
          <w:rFonts w:hint="eastAsia" w:ascii="宋体" w:hAnsi="宋体" w:cs="宋体"/>
          <w:i w:val="0"/>
          <w:iCs w:val="0"/>
          <w:color w:val="auto"/>
          <w:sz w:val="24"/>
          <w:szCs w:val="24"/>
          <w:highlight w:val="none"/>
          <w:lang w:val="en-US" w:eastAsia="zh-CN"/>
        </w:rPr>
        <w:t>一切后果</w:t>
      </w:r>
      <w:r>
        <w:rPr>
          <w:rFonts w:hint="eastAsia" w:ascii="宋体" w:hAnsi="宋体" w:eastAsia="宋体" w:cs="宋体"/>
          <w:i w:val="0"/>
          <w:iCs w:val="0"/>
          <w:color w:val="auto"/>
          <w:sz w:val="24"/>
          <w:szCs w:val="24"/>
          <w:highlight w:val="none"/>
        </w:rPr>
        <w:t>均由中标人自行承担。</w:t>
      </w:r>
    </w:p>
    <w:p w14:paraId="1DD8309F">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4.17</w:t>
      </w:r>
      <w:r>
        <w:rPr>
          <w:rFonts w:hint="eastAsia" w:ascii="宋体" w:hAnsi="宋体" w:eastAsia="宋体" w:cs="宋体"/>
          <w:color w:val="auto"/>
          <w:sz w:val="24"/>
          <w:szCs w:val="24"/>
          <w:highlight w:val="none"/>
        </w:rPr>
        <w:t>中标人运营管理期间，每年年末产权人有权进行清产核资，如果出现中标人人为损坏的，中标人在资产损坏后的一个月内补足到位。</w:t>
      </w:r>
    </w:p>
    <w:p w14:paraId="425252A5">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4.18</w:t>
      </w:r>
      <w:r>
        <w:rPr>
          <w:rFonts w:hint="eastAsia" w:ascii="宋体" w:hAnsi="宋体" w:eastAsia="宋体" w:cs="宋体"/>
          <w:color w:val="auto"/>
          <w:sz w:val="24"/>
          <w:szCs w:val="24"/>
          <w:highlight w:val="none"/>
        </w:rPr>
        <w:t>未经采购人或产权人同意，中标人擅自改变建筑物结构，擅自在室外进行扩建改造，采购人和产权人有权下达恢复原状通知书，如中标人未恢复到位，采购人有权终止合同；如给采购人或产权人造成损失，中标人应予以赔偿。</w:t>
      </w:r>
    </w:p>
    <w:p w14:paraId="2D7BAD15">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4.19</w:t>
      </w:r>
      <w:r>
        <w:rPr>
          <w:rFonts w:hint="eastAsia" w:ascii="宋体" w:hAnsi="宋体" w:eastAsia="宋体" w:cs="宋体"/>
          <w:color w:val="auto"/>
          <w:sz w:val="24"/>
          <w:szCs w:val="24"/>
          <w:highlight w:val="none"/>
        </w:rPr>
        <w:t>中标人运营期满后10日内，中标人应将属于滨海县通榆养老服务中心的建筑、场地、设施设备等交还采购人或产权人，如有损坏或丢失（设备超出使用年限自然损耗的不计在内），中标人应负责修复或折价赔偿。中标人运营期满后，如中标人没有取得下一期经营权的，或因中标人原因依法提前解除本合同的，中标人在运营期内投入的所有可移动设备可以自行处理，但对院内的一切设备环境不得有任何损坏，否则照价赔偿。如运营期满10日内中标人未将滨海县通榆养老服务中心交还采购人、未处置自有物品，每逾期一天支付采购人1万元违约金，如超过15日，视为中标人放弃滨海县通榆养老服务中心内自有物品所有权，采购人无需经过中标人同意有权直接处置。</w:t>
      </w:r>
    </w:p>
    <w:p w14:paraId="76A310B9">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4.20</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须严格按照国家及行业相关管理规定足额配备专业技术人员，所有在岗作业人员必须持有效从业资格证书上岗，严格落实人证合一、人证相符，严禁无证上岗、证件不符、挂证顶岗等违规行为。</w:t>
      </w:r>
    </w:p>
    <w:p w14:paraId="0309C54C">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4.21运营管理期间，项目所需现场用水、用电保障，以及所有驻场工作人员工作餐安排及相关费用，全部由中标单位全权负责并承担一切费用。</w:t>
      </w:r>
    </w:p>
    <w:p w14:paraId="34792D86">
      <w:pPr>
        <w:keepNext w:val="0"/>
        <w:keepLines w:val="0"/>
        <w:pageBreakBefore w:val="0"/>
        <w:kinsoku/>
        <w:wordWrap/>
        <w:overflowPunct/>
        <w:topLinePunct w:val="0"/>
        <w:autoSpaceDE/>
        <w:autoSpaceDN/>
        <w:bidi w:val="0"/>
        <w:adjustRightInd/>
        <w:spacing w:line="360" w:lineRule="auto"/>
        <w:ind w:left="0"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4.22为便利日常工作及老人就医，由通榆镇卫生院派驻医护人员，负责院内老人健康日常监测；老人就医护理相关工作由中标单位全权负责。</w:t>
      </w:r>
    </w:p>
    <w:p w14:paraId="5767DA35">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4.23运营管理期间，如需出院治疗的原则上到县内二级及以上公立医院治疗，保证就医质量和安全，县内二级及以上公立医院的陪护、护理人员及相关费用均由中标人负责。</w:t>
      </w:r>
    </w:p>
    <w:p w14:paraId="24ACE636">
      <w:pPr>
        <w:pStyle w:val="39"/>
        <w:keepNext w:val="0"/>
        <w:keepLines w:val="0"/>
        <w:pageBreakBefore w:val="0"/>
        <w:widowControl w:val="0"/>
        <w:kinsoku/>
        <w:wordWrap/>
        <w:overflowPunct/>
        <w:topLinePunct w:val="0"/>
        <w:autoSpaceDE/>
        <w:autoSpaceDN/>
        <w:bidi w:val="0"/>
        <w:adjustRightInd/>
        <w:snapToGrid/>
        <w:spacing w:before="0" w:beforeAutospacing="0" w:after="0" w:afterAutospacing="0" w:line="0" w:lineRule="atLeas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rPr>
        <w:t>投标报价应包括完成本项目所需的一切费用，包括但不限于：人工费、交通费、办公费、水电费、维修费、网络通讯费、税金、规费、招标代理费等各项费用。同时，报价也应包含合同履行过程中可能发生的一切意外风险赔偿金。</w:t>
      </w:r>
    </w:p>
    <w:p w14:paraId="640468B2">
      <w:pPr>
        <w:pStyle w:val="39"/>
        <w:widowControl w:val="0"/>
        <w:spacing w:before="0" w:beforeAutospacing="0" w:after="0" w:afterAutospacing="0" w:line="0" w:lineRule="atLeast"/>
        <w:jc w:val="both"/>
        <w:rPr>
          <w:rFonts w:hint="eastAsia" w:ascii="宋体" w:hAnsi="宋体" w:eastAsia="宋体" w:cs="宋体"/>
          <w:color w:val="auto"/>
          <w:sz w:val="24"/>
          <w:szCs w:val="24"/>
          <w:highlight w:val="none"/>
        </w:rPr>
      </w:pPr>
    </w:p>
    <w:p w14:paraId="4113EDA1">
      <w:pPr>
        <w:pStyle w:val="39"/>
        <w:keepNext w:val="0"/>
        <w:keepLines w:val="0"/>
        <w:pageBreakBefore w:val="0"/>
        <w:widowControl w:val="0"/>
        <w:kinsoku/>
        <w:wordWrap/>
        <w:overflowPunct/>
        <w:topLinePunct w:val="0"/>
        <w:autoSpaceDE/>
        <w:autoSpaceDN/>
        <w:bidi w:val="0"/>
        <w:adjustRightInd/>
        <w:snapToGrid/>
        <w:spacing w:before="0" w:beforeAutospacing="0" w:after="0" w:afterAutospacing="0" w:line="0" w:lineRule="atLeast"/>
        <w:ind w:firstLine="480" w:firstLineChars="200"/>
        <w:jc w:val="both"/>
        <w:textAlignment w:val="auto"/>
        <w:rPr>
          <w:rFonts w:hint="eastAsia" w:ascii="宋体" w:hAnsi="宋体" w:eastAsia="宋体" w:cs="宋体"/>
          <w:b/>
          <w:color w:val="auto"/>
          <w:kern w:val="0"/>
          <w:sz w:val="28"/>
          <w:szCs w:val="22"/>
          <w:highlight w:val="none"/>
          <w:shd w:val="clear" w:color="auto" w:fill="auto"/>
          <w:lang w:val="en-US" w:eastAsia="zh-CN" w:bidi="ar-SA"/>
        </w:rPr>
      </w:pPr>
      <w:r>
        <w:rPr>
          <w:rFonts w:hint="eastAsia" w:cs="宋体"/>
          <w:color w:val="auto"/>
          <w:sz w:val="24"/>
          <w:szCs w:val="24"/>
          <w:highlight w:val="none"/>
          <w:lang w:val="en-US" w:eastAsia="zh-CN"/>
        </w:rPr>
        <w:t>5.</w:t>
      </w:r>
      <w:r>
        <w:rPr>
          <w:rFonts w:hint="eastAsia" w:ascii="宋体" w:hAnsi="宋体" w:eastAsia="宋体" w:cs="宋体"/>
          <w:b/>
          <w:color w:val="auto"/>
          <w:kern w:val="0"/>
          <w:sz w:val="28"/>
          <w:szCs w:val="22"/>
          <w:highlight w:val="none"/>
          <w:shd w:val="clear" w:color="auto" w:fill="auto"/>
          <w:lang w:val="en-US" w:eastAsia="zh-CN" w:bidi="ar-SA"/>
        </w:rPr>
        <w:t>采购标的对应的中小企业划分标准所属行业一览表</w:t>
      </w:r>
    </w:p>
    <w:tbl>
      <w:tblPr>
        <w:tblStyle w:val="44"/>
        <w:tblW w:w="7087" w:type="dxa"/>
        <w:jc w:val="center"/>
        <w:tblCellSpacing w:w="0" w:type="dxa"/>
        <w:tblLayout w:type="fixed"/>
        <w:tblCellMar>
          <w:top w:w="0" w:type="dxa"/>
          <w:left w:w="108" w:type="dxa"/>
          <w:bottom w:w="0" w:type="dxa"/>
          <w:right w:w="108" w:type="dxa"/>
        </w:tblCellMar>
      </w:tblPr>
      <w:tblGrid>
        <w:gridCol w:w="828"/>
        <w:gridCol w:w="3407"/>
        <w:gridCol w:w="2852"/>
      </w:tblGrid>
      <w:tr w14:paraId="4D83CAB0">
        <w:tblPrEx>
          <w:tblCellMar>
            <w:top w:w="0" w:type="dxa"/>
            <w:left w:w="108" w:type="dxa"/>
            <w:bottom w:w="0" w:type="dxa"/>
            <w:right w:w="108" w:type="dxa"/>
          </w:tblCellMar>
        </w:tblPrEx>
        <w:trPr>
          <w:tblCellSpacing w:w="0" w:type="dxa"/>
          <w:jc w:val="center"/>
        </w:trPr>
        <w:tc>
          <w:tcPr>
            <w:tcW w:w="8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16EFF">
            <w:pPr>
              <w:widowControl w:val="0"/>
              <w:spacing w:beforeAutospacing="0" w:afterAutospacing="0" w:line="0" w:lineRule="atLeast"/>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序号</w:t>
            </w:r>
          </w:p>
        </w:tc>
        <w:tc>
          <w:tcPr>
            <w:tcW w:w="34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C688FD">
            <w:pPr>
              <w:widowControl w:val="0"/>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DD8E1">
            <w:pPr>
              <w:widowControl w:val="0"/>
              <w:spacing w:beforeAutospacing="0" w:afterAutospacing="0" w:line="0" w:lineRule="atLeast"/>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对应中小企业划分标准所属行业</w:t>
            </w:r>
          </w:p>
        </w:tc>
      </w:tr>
      <w:tr w14:paraId="75744300">
        <w:tblPrEx>
          <w:tblCellMar>
            <w:top w:w="0" w:type="dxa"/>
            <w:left w:w="108" w:type="dxa"/>
            <w:bottom w:w="0" w:type="dxa"/>
            <w:right w:w="108" w:type="dxa"/>
          </w:tblCellMar>
        </w:tblPrEx>
        <w:trPr>
          <w:trHeight w:val="1234" w:hRule="atLeast"/>
          <w:tblCellSpacing w:w="0" w:type="dxa"/>
          <w:jc w:val="center"/>
        </w:trPr>
        <w:tc>
          <w:tcPr>
            <w:tcW w:w="8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CCB738">
            <w:pPr>
              <w:widowControl w:val="0"/>
              <w:spacing w:beforeAutospacing="0" w:afterAutospacing="0" w:line="0" w:lineRule="atLeast"/>
              <w:ind w:firstLine="480"/>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1</w:t>
            </w:r>
          </w:p>
        </w:tc>
        <w:tc>
          <w:tcPr>
            <w:tcW w:w="34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B589D">
            <w:pPr>
              <w:widowControl w:val="0"/>
              <w:spacing w:beforeAutospacing="0" w:afterAutospacing="0" w:line="0" w:lineRule="atLeast"/>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2026年-2029年通榆镇养老服务中心运营机构招标项目</w:t>
            </w:r>
          </w:p>
        </w:tc>
        <w:tc>
          <w:tcPr>
            <w:tcW w:w="28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CFF60E">
            <w:pPr>
              <w:widowControl w:val="0"/>
              <w:spacing w:beforeAutospacing="0" w:afterAutospacing="0" w:line="0" w:lineRule="atLeast"/>
              <w:jc w:val="both"/>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u w:val="none"/>
                <w:lang w:val="en-US" w:eastAsia="zh-CN" w:bidi="ar-SA"/>
              </w:rPr>
              <w:t>其他未列明行业</w:t>
            </w:r>
          </w:p>
        </w:tc>
      </w:tr>
    </w:tbl>
    <w:p w14:paraId="1128D21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p>
    <w:p w14:paraId="38F63C88">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color w:val="auto"/>
          <w:sz w:val="24"/>
          <w:szCs w:val="24"/>
          <w:highlight w:val="none"/>
        </w:rPr>
      </w:pPr>
    </w:p>
    <w:p w14:paraId="3341DD3A">
      <w:pPr>
        <w:pStyle w:val="2"/>
        <w:jc w:val="both"/>
        <w:rPr>
          <w:rFonts w:hint="eastAsia" w:ascii="宋体" w:hAnsi="宋体" w:eastAsia="宋体" w:cs="宋体"/>
          <w:b/>
          <w:bCs w:val="0"/>
          <w:color w:val="auto"/>
          <w:kern w:val="2"/>
          <w:sz w:val="24"/>
          <w:szCs w:val="24"/>
          <w:highlight w:val="none"/>
          <w:lang w:val="en-US" w:eastAsia="zh-CN" w:bidi="ar-SA"/>
        </w:rPr>
      </w:pPr>
    </w:p>
    <w:p w14:paraId="2D017416">
      <w:pPr>
        <w:pStyle w:val="2"/>
        <w:jc w:val="both"/>
        <w:rPr>
          <w:rFonts w:hint="eastAsia" w:ascii="宋体" w:hAnsi="宋体" w:eastAsia="宋体" w:cs="宋体"/>
          <w:b/>
          <w:bCs w:val="0"/>
          <w:color w:val="auto"/>
          <w:kern w:val="2"/>
          <w:sz w:val="24"/>
          <w:szCs w:val="24"/>
          <w:highlight w:val="none"/>
          <w:lang w:val="en-US" w:eastAsia="zh-CN" w:bidi="ar-SA"/>
        </w:rPr>
      </w:pPr>
    </w:p>
    <w:p w14:paraId="71ADEF5E">
      <w:pPr>
        <w:pStyle w:val="2"/>
        <w:jc w:val="both"/>
        <w:rPr>
          <w:rFonts w:hint="default"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附：考核细则</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37"/>
        <w:gridCol w:w="527"/>
        <w:gridCol w:w="6534"/>
        <w:gridCol w:w="547"/>
        <w:gridCol w:w="477"/>
      </w:tblGrid>
      <w:tr w14:paraId="3C612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480" w:hRule="atLeast"/>
        </w:trPr>
        <w:tc>
          <w:tcPr>
            <w:tcW w:w="5000" w:type="pct"/>
            <w:gridSpan w:val="5"/>
            <w:tcBorders>
              <w:tl2br w:val="nil"/>
              <w:tr2bl w:val="nil"/>
            </w:tcBorders>
            <w:shd w:val="clear" w:color="auto" w:fill="FFFFFF" w:themeFill="background1"/>
            <w:noWrap/>
            <w:vAlign w:val="center"/>
          </w:tcPr>
          <w:p w14:paraId="7395507F">
            <w:pPr>
              <w:keepNext w:val="0"/>
              <w:keepLines w:val="0"/>
              <w:widowControl/>
              <w:suppressLineNumbers w:val="0"/>
              <w:jc w:val="center"/>
              <w:textAlignment w:val="center"/>
              <w:rPr>
                <w:rFonts w:ascii="方正小标宋_GBK" w:hAnsi="方正小标宋_GBK" w:eastAsia="方正小标宋_GBK" w:cs="方正小标宋_GBK"/>
                <w:i w:val="0"/>
                <w:iCs w:val="0"/>
                <w:color w:val="auto"/>
                <w:sz w:val="36"/>
                <w:szCs w:val="36"/>
                <w:highlight w:val="none"/>
                <w:u w:val="none"/>
              </w:rPr>
            </w:pPr>
            <w:r>
              <w:rPr>
                <w:rFonts w:hint="eastAsia" w:ascii="方正小标宋_GBK" w:hAnsi="方正小标宋_GBK" w:eastAsia="方正小标宋_GBK" w:cs="方正小标宋_GBK"/>
                <w:i w:val="0"/>
                <w:iCs w:val="0"/>
                <w:color w:val="auto"/>
                <w:kern w:val="0"/>
                <w:sz w:val="36"/>
                <w:szCs w:val="36"/>
                <w:highlight w:val="none"/>
                <w:u w:val="none"/>
                <w:lang w:val="en-US" w:eastAsia="zh-CN" w:bidi="ar"/>
              </w:rPr>
              <w:t>通榆养老服务中心考核细则</w:t>
            </w:r>
          </w:p>
        </w:tc>
      </w:tr>
      <w:tr w14:paraId="014C6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20" w:hRule="atLeast"/>
        </w:trPr>
        <w:tc>
          <w:tcPr>
            <w:tcW w:w="4400" w:type="pct"/>
            <w:gridSpan w:val="3"/>
            <w:tcBorders>
              <w:tl2br w:val="nil"/>
              <w:tr2bl w:val="nil"/>
            </w:tcBorders>
            <w:shd w:val="clear" w:color="auto" w:fill="FFFFFF" w:themeFill="background1"/>
            <w:vAlign w:val="center"/>
          </w:tcPr>
          <w:p w14:paraId="7A992AEF">
            <w:pPr>
              <w:keepNext w:val="0"/>
              <w:keepLines w:val="0"/>
              <w:widowControl/>
              <w:suppressLineNumbers w:val="0"/>
              <w:jc w:val="left"/>
              <w:textAlignment w:val="center"/>
              <w:rPr>
                <w:rFonts w:ascii="华文中宋" w:hAnsi="华文中宋" w:eastAsia="华文中宋" w:cs="华文中宋"/>
                <w:b/>
                <w:bCs/>
                <w:i w:val="0"/>
                <w:iCs w:val="0"/>
                <w:color w:val="auto"/>
                <w:sz w:val="22"/>
                <w:szCs w:val="22"/>
                <w:highlight w:val="none"/>
                <w:u w:val="none"/>
              </w:rPr>
            </w:pPr>
            <w:r>
              <w:rPr>
                <w:rFonts w:hint="eastAsia" w:ascii="华文中宋" w:hAnsi="华文中宋" w:eastAsia="华文中宋" w:cs="华文中宋"/>
                <w:b/>
                <w:bCs/>
                <w:i w:val="0"/>
                <w:iCs w:val="0"/>
                <w:color w:val="auto"/>
                <w:kern w:val="0"/>
                <w:sz w:val="22"/>
                <w:szCs w:val="22"/>
                <w:highlight w:val="none"/>
                <w:u w:val="none"/>
                <w:lang w:val="en-US" w:eastAsia="zh-CN" w:bidi="ar"/>
              </w:rPr>
              <w:t>被考核对象：</w:t>
            </w:r>
          </w:p>
        </w:tc>
        <w:tc>
          <w:tcPr>
            <w:tcW w:w="599" w:type="pct"/>
            <w:gridSpan w:val="2"/>
            <w:tcBorders>
              <w:tl2br w:val="nil"/>
              <w:tr2bl w:val="nil"/>
            </w:tcBorders>
            <w:shd w:val="clear" w:color="auto" w:fill="FFFFFF" w:themeFill="background1"/>
            <w:vAlign w:val="center"/>
          </w:tcPr>
          <w:p w14:paraId="0AC8B605">
            <w:pPr>
              <w:keepNext w:val="0"/>
              <w:keepLines w:val="0"/>
              <w:widowControl/>
              <w:suppressLineNumbers w:val="0"/>
              <w:jc w:val="center"/>
              <w:textAlignment w:val="center"/>
              <w:rPr>
                <w:rFonts w:hint="eastAsia" w:ascii="华文中宋" w:hAnsi="华文中宋" w:eastAsia="华文中宋" w:cs="华文中宋"/>
                <w:b/>
                <w:bCs/>
                <w:i w:val="0"/>
                <w:iCs w:val="0"/>
                <w:color w:val="auto"/>
                <w:sz w:val="22"/>
                <w:szCs w:val="22"/>
                <w:highlight w:val="none"/>
                <w:u w:val="none"/>
              </w:rPr>
            </w:pPr>
            <w:r>
              <w:rPr>
                <w:rFonts w:hint="eastAsia" w:ascii="华文中宋" w:hAnsi="华文中宋" w:eastAsia="华文中宋" w:cs="华文中宋"/>
                <w:b/>
                <w:bCs/>
                <w:i w:val="0"/>
                <w:iCs w:val="0"/>
                <w:color w:val="auto"/>
                <w:kern w:val="0"/>
                <w:sz w:val="22"/>
                <w:szCs w:val="22"/>
                <w:highlight w:val="none"/>
                <w:u w:val="none"/>
                <w:lang w:val="en-US" w:eastAsia="zh-CN" w:bidi="ar"/>
              </w:rPr>
              <w:t xml:space="preserve">年  月      </w:t>
            </w:r>
          </w:p>
        </w:tc>
      </w:tr>
      <w:tr w14:paraId="0060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00" w:hRule="atLeast"/>
        </w:trPr>
        <w:tc>
          <w:tcPr>
            <w:tcW w:w="256" w:type="pct"/>
            <w:tcBorders>
              <w:tl2br w:val="nil"/>
              <w:tr2bl w:val="nil"/>
            </w:tcBorders>
            <w:shd w:val="clear" w:color="auto" w:fill="FFFFFF" w:themeFill="background1"/>
            <w:vAlign w:val="center"/>
          </w:tcPr>
          <w:p w14:paraId="26F6325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序号</w:t>
            </w:r>
          </w:p>
        </w:tc>
        <w:tc>
          <w:tcPr>
            <w:tcW w:w="310" w:type="pct"/>
            <w:tcBorders>
              <w:tl2br w:val="nil"/>
              <w:tr2bl w:val="nil"/>
            </w:tcBorders>
            <w:shd w:val="clear" w:color="auto" w:fill="FFFFFF" w:themeFill="background1"/>
            <w:vAlign w:val="center"/>
          </w:tcPr>
          <w:p w14:paraId="694413E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考核项目</w:t>
            </w:r>
          </w:p>
        </w:tc>
        <w:tc>
          <w:tcPr>
            <w:tcW w:w="3833" w:type="pct"/>
            <w:tcBorders>
              <w:tl2br w:val="nil"/>
              <w:tr2bl w:val="nil"/>
            </w:tcBorders>
            <w:shd w:val="clear" w:color="auto" w:fill="FFFFFF" w:themeFill="background1"/>
            <w:vAlign w:val="center"/>
          </w:tcPr>
          <w:p w14:paraId="0372F2D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考核内容</w:t>
            </w:r>
          </w:p>
        </w:tc>
        <w:tc>
          <w:tcPr>
            <w:tcW w:w="320" w:type="pct"/>
            <w:tcBorders>
              <w:tl2br w:val="nil"/>
              <w:tr2bl w:val="nil"/>
            </w:tcBorders>
            <w:shd w:val="clear" w:color="auto" w:fill="FFFFFF" w:themeFill="background1"/>
            <w:vAlign w:val="center"/>
          </w:tcPr>
          <w:p w14:paraId="509E68D8">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分数</w:t>
            </w:r>
          </w:p>
        </w:tc>
        <w:tc>
          <w:tcPr>
            <w:tcW w:w="278" w:type="pct"/>
            <w:tcBorders>
              <w:tl2br w:val="nil"/>
              <w:tr2bl w:val="nil"/>
            </w:tcBorders>
            <w:shd w:val="clear" w:color="auto" w:fill="FFFFFF" w:themeFill="background1"/>
            <w:vAlign w:val="center"/>
          </w:tcPr>
          <w:p w14:paraId="51201A42">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得分</w:t>
            </w:r>
          </w:p>
        </w:tc>
      </w:tr>
      <w:tr w14:paraId="74CA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20" w:hRule="atLeast"/>
        </w:trPr>
        <w:tc>
          <w:tcPr>
            <w:tcW w:w="256" w:type="pct"/>
            <w:tcBorders>
              <w:tl2br w:val="nil"/>
              <w:tr2bl w:val="nil"/>
            </w:tcBorders>
            <w:shd w:val="clear" w:color="auto" w:fill="FFFFFF" w:themeFill="background1"/>
            <w:vAlign w:val="center"/>
          </w:tcPr>
          <w:p w14:paraId="4733CBC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310" w:type="pct"/>
            <w:vMerge w:val="restart"/>
            <w:tcBorders>
              <w:tl2br w:val="nil"/>
              <w:tr2bl w:val="nil"/>
            </w:tcBorders>
            <w:shd w:val="clear" w:color="auto" w:fill="FFFFFF" w:themeFill="background1"/>
            <w:vAlign w:val="center"/>
          </w:tcPr>
          <w:p w14:paraId="3CE3DB46">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人员配备</w:t>
            </w:r>
          </w:p>
        </w:tc>
        <w:tc>
          <w:tcPr>
            <w:tcW w:w="3833" w:type="pct"/>
            <w:tcBorders>
              <w:tl2br w:val="nil"/>
              <w:tr2bl w:val="nil"/>
            </w:tcBorders>
            <w:shd w:val="clear" w:color="auto" w:fill="FFFFFF" w:themeFill="background1"/>
            <w:vAlign w:val="center"/>
          </w:tcPr>
          <w:p w14:paraId="6C8D34B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项目负责人具有大专及以上文凭；持有三级以上等级养老护理员证书；持有助理社会工作师及以上等级证书；任职三级及以上等级养老机构（或150张床位以上养老机构）院长2年及以上或副院长4年及以上；未列入失信人员名单。有一项不符合扣0.5分。</w:t>
            </w:r>
          </w:p>
        </w:tc>
        <w:tc>
          <w:tcPr>
            <w:tcW w:w="320" w:type="pct"/>
            <w:tcBorders>
              <w:tl2br w:val="nil"/>
              <w:tr2bl w:val="nil"/>
            </w:tcBorders>
            <w:shd w:val="clear" w:color="auto" w:fill="FFFFFF" w:themeFill="background1"/>
            <w:vAlign w:val="center"/>
          </w:tcPr>
          <w:p w14:paraId="4406B25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8" w:type="pct"/>
            <w:tcBorders>
              <w:tl2br w:val="nil"/>
              <w:tr2bl w:val="nil"/>
            </w:tcBorders>
            <w:shd w:val="clear" w:color="auto" w:fill="FFFFFF" w:themeFill="background1"/>
            <w:vAlign w:val="center"/>
          </w:tcPr>
          <w:p w14:paraId="3867016A">
            <w:pPr>
              <w:jc w:val="center"/>
              <w:rPr>
                <w:rFonts w:hint="eastAsia" w:ascii="宋体" w:hAnsi="宋体" w:eastAsia="宋体" w:cs="宋体"/>
                <w:b/>
                <w:bCs/>
                <w:i w:val="0"/>
                <w:iCs w:val="0"/>
                <w:color w:val="auto"/>
                <w:sz w:val="22"/>
                <w:szCs w:val="22"/>
                <w:highlight w:val="none"/>
                <w:u w:val="none"/>
              </w:rPr>
            </w:pPr>
          </w:p>
        </w:tc>
      </w:tr>
      <w:tr w14:paraId="45715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60" w:hRule="atLeast"/>
        </w:trPr>
        <w:tc>
          <w:tcPr>
            <w:tcW w:w="256" w:type="pct"/>
            <w:tcBorders>
              <w:tl2br w:val="nil"/>
              <w:tr2bl w:val="nil"/>
            </w:tcBorders>
            <w:shd w:val="clear" w:color="auto" w:fill="FFFFFF" w:themeFill="background1"/>
            <w:vAlign w:val="center"/>
          </w:tcPr>
          <w:p w14:paraId="3D3F09F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310" w:type="pct"/>
            <w:vMerge w:val="continue"/>
            <w:tcBorders>
              <w:tl2br w:val="nil"/>
              <w:tr2bl w:val="nil"/>
            </w:tcBorders>
            <w:shd w:val="clear" w:color="auto" w:fill="FFFFFF" w:themeFill="background1"/>
            <w:vAlign w:val="center"/>
          </w:tcPr>
          <w:p w14:paraId="5F7EC41E">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33B8ED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按照三级养老机构标准配备养老护理员，每少一人扣0.2分。</w:t>
            </w:r>
          </w:p>
        </w:tc>
        <w:tc>
          <w:tcPr>
            <w:tcW w:w="320" w:type="pct"/>
            <w:tcBorders>
              <w:tl2br w:val="nil"/>
              <w:tr2bl w:val="nil"/>
            </w:tcBorders>
            <w:shd w:val="clear" w:color="auto" w:fill="FFFFFF" w:themeFill="background1"/>
            <w:vAlign w:val="center"/>
          </w:tcPr>
          <w:p w14:paraId="1A7ADA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8" w:type="pct"/>
            <w:tcBorders>
              <w:tl2br w:val="nil"/>
              <w:tr2bl w:val="nil"/>
            </w:tcBorders>
            <w:shd w:val="clear" w:color="auto" w:fill="FFFFFF" w:themeFill="background1"/>
            <w:vAlign w:val="center"/>
          </w:tcPr>
          <w:p w14:paraId="61F7D6CD">
            <w:pPr>
              <w:jc w:val="center"/>
              <w:rPr>
                <w:rFonts w:hint="eastAsia" w:ascii="宋体" w:hAnsi="宋体" w:eastAsia="宋体" w:cs="宋体"/>
                <w:b/>
                <w:bCs/>
                <w:i w:val="0"/>
                <w:iCs w:val="0"/>
                <w:color w:val="auto"/>
                <w:sz w:val="22"/>
                <w:szCs w:val="22"/>
                <w:highlight w:val="none"/>
                <w:u w:val="none"/>
              </w:rPr>
            </w:pPr>
          </w:p>
        </w:tc>
      </w:tr>
      <w:tr w14:paraId="0F431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40" w:hRule="atLeast"/>
        </w:trPr>
        <w:tc>
          <w:tcPr>
            <w:tcW w:w="256" w:type="pct"/>
            <w:tcBorders>
              <w:tl2br w:val="nil"/>
              <w:tr2bl w:val="nil"/>
            </w:tcBorders>
            <w:shd w:val="clear" w:color="auto" w:fill="FFFFFF" w:themeFill="background1"/>
            <w:vAlign w:val="center"/>
          </w:tcPr>
          <w:p w14:paraId="5681740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310" w:type="pct"/>
            <w:vMerge w:val="continue"/>
            <w:tcBorders>
              <w:tl2br w:val="nil"/>
              <w:tr2bl w:val="nil"/>
            </w:tcBorders>
            <w:shd w:val="clear" w:color="auto" w:fill="FFFFFF" w:themeFill="background1"/>
            <w:vAlign w:val="center"/>
          </w:tcPr>
          <w:p w14:paraId="07266685">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45E1014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按照行业标准配备持证的社会工作师、康复治疗师、健康管理师、心理咨询师、养老服务评估员、厨师（或持有培训证书）、会计、营养师。缺少一样扣0.3分。</w:t>
            </w:r>
          </w:p>
        </w:tc>
        <w:tc>
          <w:tcPr>
            <w:tcW w:w="320" w:type="pct"/>
            <w:tcBorders>
              <w:tl2br w:val="nil"/>
              <w:tr2bl w:val="nil"/>
            </w:tcBorders>
            <w:shd w:val="clear" w:color="auto" w:fill="FFFFFF" w:themeFill="background1"/>
            <w:vAlign w:val="center"/>
          </w:tcPr>
          <w:p w14:paraId="157621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8" w:type="pct"/>
            <w:tcBorders>
              <w:tl2br w:val="nil"/>
              <w:tr2bl w:val="nil"/>
            </w:tcBorders>
            <w:shd w:val="clear" w:color="auto" w:fill="FFFFFF" w:themeFill="background1"/>
            <w:vAlign w:val="center"/>
          </w:tcPr>
          <w:p w14:paraId="3EA0EFC8">
            <w:pPr>
              <w:jc w:val="center"/>
              <w:rPr>
                <w:rFonts w:hint="eastAsia" w:ascii="宋体" w:hAnsi="宋体" w:eastAsia="宋体" w:cs="宋体"/>
                <w:b/>
                <w:bCs/>
                <w:i w:val="0"/>
                <w:iCs w:val="0"/>
                <w:color w:val="auto"/>
                <w:sz w:val="22"/>
                <w:szCs w:val="22"/>
                <w:highlight w:val="none"/>
                <w:u w:val="none"/>
              </w:rPr>
            </w:pPr>
          </w:p>
        </w:tc>
      </w:tr>
      <w:tr w14:paraId="11C52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6" w:type="pct"/>
            <w:tcBorders>
              <w:tl2br w:val="nil"/>
              <w:tr2bl w:val="nil"/>
            </w:tcBorders>
            <w:shd w:val="clear" w:color="auto" w:fill="FFFFFF" w:themeFill="background1"/>
            <w:vAlign w:val="center"/>
          </w:tcPr>
          <w:p w14:paraId="18D817F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310" w:type="pct"/>
            <w:vMerge w:val="continue"/>
            <w:tcBorders>
              <w:tl2br w:val="nil"/>
              <w:tr2bl w:val="nil"/>
            </w:tcBorders>
            <w:shd w:val="clear" w:color="auto" w:fill="FFFFFF" w:themeFill="background1"/>
            <w:vAlign w:val="center"/>
          </w:tcPr>
          <w:p w14:paraId="431D09DB">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1CCCEEA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按照上级要求足额配备持中级证书的消防设施操作员。缺少一个扣0.5分。</w:t>
            </w:r>
          </w:p>
        </w:tc>
        <w:tc>
          <w:tcPr>
            <w:tcW w:w="320" w:type="pct"/>
            <w:tcBorders>
              <w:tl2br w:val="nil"/>
              <w:tr2bl w:val="nil"/>
            </w:tcBorders>
            <w:shd w:val="clear" w:color="auto" w:fill="FFFFFF" w:themeFill="background1"/>
            <w:vAlign w:val="center"/>
          </w:tcPr>
          <w:p w14:paraId="7421B0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5D28976F">
            <w:pPr>
              <w:jc w:val="center"/>
              <w:rPr>
                <w:rFonts w:hint="eastAsia" w:ascii="宋体" w:hAnsi="宋体" w:eastAsia="宋体" w:cs="宋体"/>
                <w:b/>
                <w:bCs/>
                <w:i w:val="0"/>
                <w:iCs w:val="0"/>
                <w:color w:val="auto"/>
                <w:sz w:val="22"/>
                <w:szCs w:val="22"/>
                <w:highlight w:val="none"/>
                <w:u w:val="none"/>
              </w:rPr>
            </w:pPr>
          </w:p>
        </w:tc>
      </w:tr>
      <w:tr w14:paraId="373B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00" w:hRule="atLeast"/>
        </w:trPr>
        <w:tc>
          <w:tcPr>
            <w:tcW w:w="256" w:type="pct"/>
            <w:tcBorders>
              <w:tl2br w:val="nil"/>
              <w:tr2bl w:val="nil"/>
            </w:tcBorders>
            <w:shd w:val="clear" w:color="auto" w:fill="FFFFFF" w:themeFill="background1"/>
            <w:vAlign w:val="center"/>
          </w:tcPr>
          <w:p w14:paraId="4A9B93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310" w:type="pct"/>
            <w:vMerge w:val="continue"/>
            <w:tcBorders>
              <w:tl2br w:val="nil"/>
              <w:tr2bl w:val="nil"/>
            </w:tcBorders>
            <w:shd w:val="clear" w:color="auto" w:fill="FFFFFF" w:themeFill="background1"/>
            <w:vAlign w:val="center"/>
          </w:tcPr>
          <w:p w14:paraId="44085816">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7E22B31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按照相关法律法规，为全日制员工缴纳社会保险。如有一人未缴纳扣0.2分，扣完为止。</w:t>
            </w:r>
          </w:p>
        </w:tc>
        <w:tc>
          <w:tcPr>
            <w:tcW w:w="320" w:type="pct"/>
            <w:tcBorders>
              <w:tl2br w:val="nil"/>
              <w:tr2bl w:val="nil"/>
            </w:tcBorders>
            <w:shd w:val="clear" w:color="auto" w:fill="FFFFFF" w:themeFill="background1"/>
            <w:vAlign w:val="center"/>
          </w:tcPr>
          <w:p w14:paraId="0E22F3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777CAC01">
            <w:pPr>
              <w:jc w:val="center"/>
              <w:rPr>
                <w:rFonts w:hint="eastAsia" w:ascii="宋体" w:hAnsi="宋体" w:eastAsia="宋体" w:cs="宋体"/>
                <w:b/>
                <w:bCs/>
                <w:i w:val="0"/>
                <w:iCs w:val="0"/>
                <w:color w:val="auto"/>
                <w:sz w:val="22"/>
                <w:szCs w:val="22"/>
                <w:highlight w:val="none"/>
                <w:u w:val="none"/>
              </w:rPr>
            </w:pPr>
          </w:p>
        </w:tc>
      </w:tr>
      <w:tr w14:paraId="146A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20" w:hRule="atLeast"/>
        </w:trPr>
        <w:tc>
          <w:tcPr>
            <w:tcW w:w="256" w:type="pct"/>
            <w:tcBorders>
              <w:tl2br w:val="nil"/>
              <w:tr2bl w:val="nil"/>
            </w:tcBorders>
            <w:shd w:val="clear" w:color="auto" w:fill="FFFFFF" w:themeFill="background1"/>
            <w:vAlign w:val="center"/>
          </w:tcPr>
          <w:p w14:paraId="3BC507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310" w:type="pct"/>
            <w:vMerge w:val="continue"/>
            <w:tcBorders>
              <w:tl2br w:val="nil"/>
              <w:tr2bl w:val="nil"/>
            </w:tcBorders>
            <w:shd w:val="clear" w:color="auto" w:fill="FFFFFF" w:themeFill="background1"/>
            <w:vAlign w:val="center"/>
          </w:tcPr>
          <w:p w14:paraId="6DAD601C">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4E9545B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工作人员仪表仪容不整，工作期间不穿工作服、不佩戴口罩；工作中闲聊、串岗、群聚、喧哗等与工作无关的行为；脱岗、擅离职守者；随地吐痰、乱扔垃圾、在工作场所吸烟，每人每次扣0.2分。</w:t>
            </w:r>
          </w:p>
        </w:tc>
        <w:tc>
          <w:tcPr>
            <w:tcW w:w="320" w:type="pct"/>
            <w:tcBorders>
              <w:tl2br w:val="nil"/>
              <w:tr2bl w:val="nil"/>
            </w:tcBorders>
            <w:shd w:val="clear" w:color="auto" w:fill="FFFFFF" w:themeFill="background1"/>
            <w:vAlign w:val="center"/>
          </w:tcPr>
          <w:p w14:paraId="741D6DB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712DC1CD">
            <w:pPr>
              <w:jc w:val="center"/>
              <w:rPr>
                <w:rFonts w:hint="eastAsia" w:ascii="宋体" w:hAnsi="宋体" w:eastAsia="宋体" w:cs="宋体"/>
                <w:b/>
                <w:bCs/>
                <w:i w:val="0"/>
                <w:iCs w:val="0"/>
                <w:color w:val="auto"/>
                <w:sz w:val="22"/>
                <w:szCs w:val="22"/>
                <w:highlight w:val="none"/>
                <w:u w:val="none"/>
              </w:rPr>
            </w:pPr>
          </w:p>
        </w:tc>
      </w:tr>
      <w:tr w14:paraId="28C17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56" w:type="pct"/>
            <w:tcBorders>
              <w:tl2br w:val="nil"/>
              <w:tr2bl w:val="nil"/>
            </w:tcBorders>
            <w:shd w:val="clear" w:color="auto" w:fill="FFFFFF" w:themeFill="background1"/>
            <w:vAlign w:val="center"/>
          </w:tcPr>
          <w:p w14:paraId="2ACD5D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310" w:type="pct"/>
            <w:vMerge w:val="continue"/>
            <w:tcBorders>
              <w:tl2br w:val="nil"/>
              <w:tr2bl w:val="nil"/>
            </w:tcBorders>
            <w:shd w:val="clear" w:color="auto" w:fill="FFFFFF" w:themeFill="background1"/>
            <w:vAlign w:val="center"/>
          </w:tcPr>
          <w:p w14:paraId="19FEAF84">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525853E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院内配备的所有工作人员都应持有健康证明，有1人无健康证明扣0.5分。</w:t>
            </w:r>
          </w:p>
        </w:tc>
        <w:tc>
          <w:tcPr>
            <w:tcW w:w="320" w:type="pct"/>
            <w:tcBorders>
              <w:tl2br w:val="nil"/>
              <w:tr2bl w:val="nil"/>
            </w:tcBorders>
            <w:shd w:val="clear" w:color="auto" w:fill="FFFFFF" w:themeFill="background1"/>
            <w:vAlign w:val="center"/>
          </w:tcPr>
          <w:p w14:paraId="24718A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A671551">
            <w:pPr>
              <w:jc w:val="center"/>
              <w:rPr>
                <w:rFonts w:hint="eastAsia" w:ascii="宋体" w:hAnsi="宋体" w:eastAsia="宋体" w:cs="宋体"/>
                <w:b/>
                <w:bCs/>
                <w:i w:val="0"/>
                <w:iCs w:val="0"/>
                <w:color w:val="auto"/>
                <w:sz w:val="22"/>
                <w:szCs w:val="22"/>
                <w:highlight w:val="none"/>
                <w:u w:val="none"/>
              </w:rPr>
            </w:pPr>
          </w:p>
        </w:tc>
      </w:tr>
      <w:tr w14:paraId="1FC0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600" w:hRule="atLeast"/>
        </w:trPr>
        <w:tc>
          <w:tcPr>
            <w:tcW w:w="256" w:type="pct"/>
            <w:tcBorders>
              <w:tl2br w:val="nil"/>
              <w:tr2bl w:val="nil"/>
            </w:tcBorders>
            <w:shd w:val="clear" w:color="auto" w:fill="FFFFFF" w:themeFill="background1"/>
            <w:vAlign w:val="center"/>
          </w:tcPr>
          <w:p w14:paraId="72524F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310" w:type="pct"/>
            <w:vMerge w:val="restart"/>
            <w:tcBorders>
              <w:tl2br w:val="nil"/>
              <w:tr2bl w:val="nil"/>
            </w:tcBorders>
            <w:shd w:val="clear" w:color="auto" w:fill="FFFFFF" w:themeFill="background1"/>
            <w:vAlign w:val="center"/>
          </w:tcPr>
          <w:p w14:paraId="00954ABB">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护理服务</w:t>
            </w:r>
          </w:p>
        </w:tc>
        <w:tc>
          <w:tcPr>
            <w:tcW w:w="3833" w:type="pct"/>
            <w:tcBorders>
              <w:tl2br w:val="nil"/>
              <w:tr2bl w:val="nil"/>
            </w:tcBorders>
            <w:shd w:val="clear" w:color="auto" w:fill="FFFFFF" w:themeFill="background1"/>
            <w:vAlign w:val="center"/>
          </w:tcPr>
          <w:p w14:paraId="714F731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擅自为老人提供其他服务私自收取费用；在工作场所恶意辱骂、殴打或故意妨碍管理人员；暗示老人或家属索要红包；未经同意带老人或陪同老人离开养老院，发现一例每人每次扣0.5分。</w:t>
            </w:r>
          </w:p>
        </w:tc>
        <w:tc>
          <w:tcPr>
            <w:tcW w:w="320" w:type="pct"/>
            <w:tcBorders>
              <w:tl2br w:val="nil"/>
              <w:tr2bl w:val="nil"/>
            </w:tcBorders>
            <w:shd w:val="clear" w:color="auto" w:fill="FFFFFF" w:themeFill="background1"/>
            <w:vAlign w:val="center"/>
          </w:tcPr>
          <w:p w14:paraId="6C33BB9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2393D08E">
            <w:pPr>
              <w:jc w:val="center"/>
              <w:rPr>
                <w:rFonts w:hint="eastAsia" w:ascii="宋体" w:hAnsi="宋体" w:eastAsia="宋体" w:cs="宋体"/>
                <w:b/>
                <w:bCs/>
                <w:i w:val="0"/>
                <w:iCs w:val="0"/>
                <w:color w:val="auto"/>
                <w:sz w:val="22"/>
                <w:szCs w:val="22"/>
                <w:highlight w:val="none"/>
                <w:u w:val="none"/>
              </w:rPr>
            </w:pPr>
          </w:p>
        </w:tc>
      </w:tr>
      <w:tr w14:paraId="3FB59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0" w:hRule="atLeast"/>
        </w:trPr>
        <w:tc>
          <w:tcPr>
            <w:tcW w:w="256" w:type="pct"/>
            <w:tcBorders>
              <w:tl2br w:val="nil"/>
              <w:tr2bl w:val="nil"/>
            </w:tcBorders>
            <w:shd w:val="clear" w:color="auto" w:fill="FFFFFF" w:themeFill="background1"/>
            <w:vAlign w:val="center"/>
          </w:tcPr>
          <w:p w14:paraId="0060239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310" w:type="pct"/>
            <w:vMerge w:val="continue"/>
            <w:tcBorders>
              <w:tl2br w:val="nil"/>
              <w:tr2bl w:val="nil"/>
            </w:tcBorders>
            <w:shd w:val="clear" w:color="auto" w:fill="FFFFFF" w:themeFill="background1"/>
            <w:vAlign w:val="center"/>
          </w:tcPr>
          <w:p w14:paraId="55E1F99B">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4A1362E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定期培训学习，每月至少1次护理员操作培训及理论培训学习。每月未操作培训及理论培训学习每次扣0.5分。</w:t>
            </w:r>
          </w:p>
        </w:tc>
        <w:tc>
          <w:tcPr>
            <w:tcW w:w="320" w:type="pct"/>
            <w:tcBorders>
              <w:tl2br w:val="nil"/>
              <w:tr2bl w:val="nil"/>
            </w:tcBorders>
            <w:shd w:val="clear" w:color="auto" w:fill="FFFFFF" w:themeFill="background1"/>
            <w:vAlign w:val="center"/>
          </w:tcPr>
          <w:p w14:paraId="4C3FC8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F97BAC5">
            <w:pPr>
              <w:jc w:val="center"/>
              <w:rPr>
                <w:rFonts w:hint="eastAsia" w:ascii="宋体" w:hAnsi="宋体" w:eastAsia="宋体" w:cs="宋体"/>
                <w:b/>
                <w:bCs/>
                <w:i w:val="0"/>
                <w:iCs w:val="0"/>
                <w:color w:val="auto"/>
                <w:sz w:val="22"/>
                <w:szCs w:val="22"/>
                <w:highlight w:val="none"/>
                <w:u w:val="none"/>
              </w:rPr>
            </w:pPr>
          </w:p>
        </w:tc>
      </w:tr>
      <w:tr w14:paraId="7802B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6" w:type="pct"/>
            <w:tcBorders>
              <w:tl2br w:val="nil"/>
              <w:tr2bl w:val="nil"/>
            </w:tcBorders>
            <w:shd w:val="clear" w:color="auto" w:fill="FFFFFF" w:themeFill="background1"/>
            <w:vAlign w:val="center"/>
          </w:tcPr>
          <w:p w14:paraId="05EE5C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310" w:type="pct"/>
            <w:vMerge w:val="continue"/>
            <w:tcBorders>
              <w:tl2br w:val="nil"/>
              <w:tr2bl w:val="nil"/>
            </w:tcBorders>
            <w:shd w:val="clear" w:color="auto" w:fill="FFFFFF" w:themeFill="background1"/>
            <w:vAlign w:val="center"/>
          </w:tcPr>
          <w:p w14:paraId="05F5704D">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78B4C3B7">
            <w:pPr>
              <w:keepNext w:val="0"/>
              <w:keepLines w:val="0"/>
              <w:widowControl/>
              <w:suppressLineNumbers w:val="0"/>
              <w:jc w:val="left"/>
              <w:textAlignment w:val="center"/>
              <w:rPr>
                <w:rFonts w:hint="eastAsia" w:ascii="宋体" w:hAnsi="宋体" w:eastAsia="宋体" w:cs="宋体"/>
                <w:i w:val="0"/>
                <w:iCs w:val="0"/>
                <w:color w:val="auto"/>
                <w:sz w:val="17"/>
                <w:szCs w:val="17"/>
                <w:highlight w:val="none"/>
                <w:u w:val="none"/>
              </w:rPr>
            </w:pPr>
            <w:r>
              <w:rPr>
                <w:rFonts w:hint="eastAsia" w:ascii="宋体" w:hAnsi="宋体" w:eastAsia="宋体" w:cs="宋体"/>
                <w:i w:val="0"/>
                <w:iCs w:val="0"/>
                <w:color w:val="auto"/>
                <w:kern w:val="0"/>
                <w:sz w:val="17"/>
                <w:szCs w:val="17"/>
                <w:highlight w:val="none"/>
                <w:u w:val="none"/>
                <w:lang w:val="en-US" w:eastAsia="zh-CN" w:bidi="ar"/>
              </w:rPr>
              <w:t>落实各项生活照护服务的内容，包括老人的个人清洁卫生服务、饮食照料服务、起居照料服务，排泄照料服务，老人体位转换及位置转移服务等，各级服务按照护理标准落实到位，一项不达标扣0.2分。</w:t>
            </w:r>
          </w:p>
        </w:tc>
        <w:tc>
          <w:tcPr>
            <w:tcW w:w="320" w:type="pct"/>
            <w:tcBorders>
              <w:tl2br w:val="nil"/>
              <w:tr2bl w:val="nil"/>
            </w:tcBorders>
            <w:shd w:val="clear" w:color="auto" w:fill="FFFFFF" w:themeFill="background1"/>
            <w:vAlign w:val="center"/>
          </w:tcPr>
          <w:p w14:paraId="499FC6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2C6678D">
            <w:pPr>
              <w:jc w:val="center"/>
              <w:rPr>
                <w:rFonts w:hint="eastAsia" w:ascii="宋体" w:hAnsi="宋体" w:eastAsia="宋体" w:cs="宋体"/>
                <w:b/>
                <w:bCs/>
                <w:i w:val="0"/>
                <w:iCs w:val="0"/>
                <w:color w:val="auto"/>
                <w:sz w:val="22"/>
                <w:szCs w:val="22"/>
                <w:highlight w:val="none"/>
                <w:u w:val="none"/>
              </w:rPr>
            </w:pPr>
          </w:p>
        </w:tc>
      </w:tr>
      <w:tr w14:paraId="2C8D3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56" w:type="pct"/>
            <w:tcBorders>
              <w:tl2br w:val="nil"/>
              <w:tr2bl w:val="nil"/>
            </w:tcBorders>
            <w:shd w:val="clear" w:color="auto" w:fill="FFFFFF" w:themeFill="background1"/>
            <w:vAlign w:val="center"/>
          </w:tcPr>
          <w:p w14:paraId="5C7A84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310" w:type="pct"/>
            <w:vMerge w:val="continue"/>
            <w:tcBorders>
              <w:tl2br w:val="nil"/>
              <w:tr2bl w:val="nil"/>
            </w:tcBorders>
            <w:shd w:val="clear" w:color="auto" w:fill="FFFFFF" w:themeFill="background1"/>
            <w:vAlign w:val="center"/>
          </w:tcPr>
          <w:p w14:paraId="14FFC3E0">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5802D12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因护理不当，导致老人发生压疮、坠床、跌倒、噎食、走失等护理不良事件，每次0.5分；因护理不当，导致严重后果的，视情节严重程度，扣1分。</w:t>
            </w:r>
          </w:p>
        </w:tc>
        <w:tc>
          <w:tcPr>
            <w:tcW w:w="320" w:type="pct"/>
            <w:tcBorders>
              <w:tl2br w:val="nil"/>
              <w:tr2bl w:val="nil"/>
            </w:tcBorders>
            <w:shd w:val="clear" w:color="auto" w:fill="FFFFFF" w:themeFill="background1"/>
            <w:vAlign w:val="center"/>
          </w:tcPr>
          <w:p w14:paraId="2CE3632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8" w:type="pct"/>
            <w:tcBorders>
              <w:tl2br w:val="nil"/>
              <w:tr2bl w:val="nil"/>
            </w:tcBorders>
            <w:shd w:val="clear" w:color="auto" w:fill="FFFFFF" w:themeFill="background1"/>
            <w:vAlign w:val="center"/>
          </w:tcPr>
          <w:p w14:paraId="0F739D3F">
            <w:pPr>
              <w:jc w:val="center"/>
              <w:rPr>
                <w:rFonts w:hint="eastAsia" w:ascii="宋体" w:hAnsi="宋体" w:eastAsia="宋体" w:cs="宋体"/>
                <w:b/>
                <w:bCs/>
                <w:i w:val="0"/>
                <w:iCs w:val="0"/>
                <w:color w:val="auto"/>
                <w:sz w:val="22"/>
                <w:szCs w:val="22"/>
                <w:highlight w:val="none"/>
                <w:u w:val="none"/>
              </w:rPr>
            </w:pPr>
          </w:p>
        </w:tc>
      </w:tr>
      <w:tr w14:paraId="5A919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56" w:type="pct"/>
            <w:tcBorders>
              <w:tl2br w:val="nil"/>
              <w:tr2bl w:val="nil"/>
            </w:tcBorders>
            <w:shd w:val="clear" w:color="auto" w:fill="FFFFFF" w:themeFill="background1"/>
            <w:vAlign w:val="center"/>
          </w:tcPr>
          <w:p w14:paraId="0D95F35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w:t>
            </w:r>
          </w:p>
        </w:tc>
        <w:tc>
          <w:tcPr>
            <w:tcW w:w="310" w:type="pct"/>
            <w:vMerge w:val="continue"/>
            <w:tcBorders>
              <w:tl2br w:val="nil"/>
              <w:tr2bl w:val="nil"/>
            </w:tcBorders>
            <w:shd w:val="clear" w:color="auto" w:fill="FFFFFF" w:themeFill="background1"/>
            <w:vAlign w:val="center"/>
          </w:tcPr>
          <w:p w14:paraId="03D4EACE">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49105CE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护理文书及各类签字表格书写规范，版面整洁，内容完整，每月各种签字表格分类并存档保存，一项不符合要求扣0.2分。</w:t>
            </w:r>
          </w:p>
        </w:tc>
        <w:tc>
          <w:tcPr>
            <w:tcW w:w="320" w:type="pct"/>
            <w:tcBorders>
              <w:tl2br w:val="nil"/>
              <w:tr2bl w:val="nil"/>
            </w:tcBorders>
            <w:shd w:val="clear" w:color="auto" w:fill="FFFFFF" w:themeFill="background1"/>
            <w:vAlign w:val="center"/>
          </w:tcPr>
          <w:p w14:paraId="575262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EE885C8">
            <w:pPr>
              <w:rPr>
                <w:rFonts w:hint="eastAsia" w:ascii="宋体" w:hAnsi="宋体" w:eastAsia="宋体" w:cs="宋体"/>
                <w:i w:val="0"/>
                <w:iCs w:val="0"/>
                <w:color w:val="auto"/>
                <w:sz w:val="22"/>
                <w:szCs w:val="22"/>
                <w:highlight w:val="none"/>
                <w:u w:val="none"/>
              </w:rPr>
            </w:pPr>
          </w:p>
        </w:tc>
      </w:tr>
      <w:tr w14:paraId="44A29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40" w:hRule="atLeast"/>
        </w:trPr>
        <w:tc>
          <w:tcPr>
            <w:tcW w:w="256" w:type="pct"/>
            <w:tcBorders>
              <w:tl2br w:val="nil"/>
              <w:tr2bl w:val="nil"/>
            </w:tcBorders>
            <w:shd w:val="clear" w:color="auto" w:fill="FFFFFF" w:themeFill="background1"/>
            <w:vAlign w:val="center"/>
          </w:tcPr>
          <w:p w14:paraId="1CD5EAD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w:t>
            </w:r>
          </w:p>
        </w:tc>
        <w:tc>
          <w:tcPr>
            <w:tcW w:w="310" w:type="pct"/>
            <w:vMerge w:val="restart"/>
            <w:tcBorders>
              <w:tl2br w:val="nil"/>
              <w:tr2bl w:val="nil"/>
            </w:tcBorders>
            <w:shd w:val="clear" w:color="auto" w:fill="FFFFFF" w:themeFill="background1"/>
            <w:vAlign w:val="center"/>
          </w:tcPr>
          <w:p w14:paraId="6101CC1C">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环境卫生</w:t>
            </w:r>
          </w:p>
        </w:tc>
        <w:tc>
          <w:tcPr>
            <w:tcW w:w="3833" w:type="pct"/>
            <w:tcBorders>
              <w:tl2br w:val="nil"/>
              <w:tr2bl w:val="nil"/>
            </w:tcBorders>
            <w:shd w:val="clear" w:color="auto" w:fill="FFFFFF" w:themeFill="background1"/>
            <w:vAlign w:val="center"/>
          </w:tcPr>
          <w:p w14:paraId="3D8D352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应督促老人在指定场所吸烟，严禁老人在房间、走廊或楼梯道等场所内吸烟，如发现1起扣1分。</w:t>
            </w:r>
          </w:p>
        </w:tc>
        <w:tc>
          <w:tcPr>
            <w:tcW w:w="320" w:type="pct"/>
            <w:tcBorders>
              <w:tl2br w:val="nil"/>
              <w:tr2bl w:val="nil"/>
            </w:tcBorders>
            <w:shd w:val="clear" w:color="auto" w:fill="FFFFFF" w:themeFill="background1"/>
            <w:vAlign w:val="center"/>
          </w:tcPr>
          <w:p w14:paraId="5793745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8" w:type="pct"/>
            <w:tcBorders>
              <w:tl2br w:val="nil"/>
              <w:tr2bl w:val="nil"/>
            </w:tcBorders>
            <w:shd w:val="clear" w:color="auto" w:fill="FFFFFF" w:themeFill="background1"/>
            <w:vAlign w:val="center"/>
          </w:tcPr>
          <w:p w14:paraId="652DE7C0">
            <w:pPr>
              <w:rPr>
                <w:rFonts w:hint="eastAsia" w:ascii="宋体" w:hAnsi="宋体" w:eastAsia="宋体" w:cs="宋体"/>
                <w:i w:val="0"/>
                <w:iCs w:val="0"/>
                <w:color w:val="auto"/>
                <w:sz w:val="22"/>
                <w:szCs w:val="22"/>
                <w:highlight w:val="none"/>
                <w:u w:val="none"/>
              </w:rPr>
            </w:pPr>
          </w:p>
        </w:tc>
      </w:tr>
      <w:tr w14:paraId="5782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0" w:hRule="atLeast"/>
        </w:trPr>
        <w:tc>
          <w:tcPr>
            <w:tcW w:w="256" w:type="pct"/>
            <w:tcBorders>
              <w:tl2br w:val="nil"/>
              <w:tr2bl w:val="nil"/>
            </w:tcBorders>
            <w:shd w:val="clear" w:color="auto" w:fill="FFFFFF" w:themeFill="background1"/>
            <w:vAlign w:val="center"/>
          </w:tcPr>
          <w:p w14:paraId="4DFD59B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w:t>
            </w:r>
          </w:p>
        </w:tc>
        <w:tc>
          <w:tcPr>
            <w:tcW w:w="310" w:type="pct"/>
            <w:vMerge w:val="continue"/>
            <w:tcBorders>
              <w:tl2br w:val="nil"/>
              <w:tr2bl w:val="nil"/>
            </w:tcBorders>
            <w:shd w:val="clear" w:color="auto" w:fill="FFFFFF" w:themeFill="background1"/>
            <w:vAlign w:val="center"/>
          </w:tcPr>
          <w:p w14:paraId="55D1D5F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72DDF9F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大厅：前台干净整洁，物品摆放有序、整齐、美观；地面干净整洁无污渍；大门门框无灰尘，玻璃洁净无痕；茶几、沙发洁净无污；墙面和吊顶无蜘蛛网，一项不符合要求扣0.1分。</w:t>
            </w:r>
          </w:p>
        </w:tc>
        <w:tc>
          <w:tcPr>
            <w:tcW w:w="320" w:type="pct"/>
            <w:tcBorders>
              <w:tl2br w:val="nil"/>
              <w:tr2bl w:val="nil"/>
            </w:tcBorders>
            <w:shd w:val="clear" w:color="auto" w:fill="FFFFFF" w:themeFill="background1"/>
            <w:vAlign w:val="center"/>
          </w:tcPr>
          <w:p w14:paraId="0B1E31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56C97D7">
            <w:pPr>
              <w:rPr>
                <w:rFonts w:hint="eastAsia" w:ascii="宋体" w:hAnsi="宋体" w:eastAsia="宋体" w:cs="宋体"/>
                <w:i w:val="0"/>
                <w:iCs w:val="0"/>
                <w:color w:val="auto"/>
                <w:sz w:val="22"/>
                <w:szCs w:val="22"/>
                <w:highlight w:val="none"/>
                <w:u w:val="none"/>
              </w:rPr>
            </w:pPr>
          </w:p>
        </w:tc>
      </w:tr>
      <w:tr w14:paraId="75BC8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200" w:hRule="atLeast"/>
        </w:trPr>
        <w:tc>
          <w:tcPr>
            <w:tcW w:w="256" w:type="pct"/>
            <w:tcBorders>
              <w:tl2br w:val="nil"/>
              <w:tr2bl w:val="nil"/>
            </w:tcBorders>
            <w:shd w:val="clear" w:color="auto" w:fill="FFFFFF" w:themeFill="background1"/>
            <w:vAlign w:val="center"/>
          </w:tcPr>
          <w:p w14:paraId="16A478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w:t>
            </w:r>
          </w:p>
        </w:tc>
        <w:tc>
          <w:tcPr>
            <w:tcW w:w="310" w:type="pct"/>
            <w:vMerge w:val="continue"/>
            <w:tcBorders>
              <w:tl2br w:val="nil"/>
              <w:tr2bl w:val="nil"/>
            </w:tcBorders>
            <w:shd w:val="clear" w:color="auto" w:fill="FFFFFF" w:themeFill="background1"/>
            <w:vAlign w:val="center"/>
          </w:tcPr>
          <w:p w14:paraId="231472E4">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787A32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走廊及楼梯：扶手洁净无灰尘；消防门、灭火器、消防栓洁净无灰尘；地面干净整洁无污渍，有垃圾及时清理；墙面和吊顶无蜘蛛网；微波炉不锈钢架无油渍、灰尘，微波炉外面干净，里面无饭菜、油渍；走廊物品只摆放轮椅，无其他杂物放置；楼梯口及扶手干净，不放置杂物，不晾晒衣物；阳台、护栏不摆放杂物，洁净；窗户框无灰尘，玻璃洁净；绿化枝叶无枯黄坏死，叶面无灰尘，花盆擦洗干净，盆内无纸屑，一项不符合要求扣0.1分。</w:t>
            </w:r>
          </w:p>
        </w:tc>
        <w:tc>
          <w:tcPr>
            <w:tcW w:w="320" w:type="pct"/>
            <w:tcBorders>
              <w:tl2br w:val="nil"/>
              <w:tr2bl w:val="nil"/>
            </w:tcBorders>
            <w:shd w:val="clear" w:color="auto" w:fill="FFFFFF" w:themeFill="background1"/>
            <w:vAlign w:val="center"/>
          </w:tcPr>
          <w:p w14:paraId="2D7FFE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1ED0FF1">
            <w:pPr>
              <w:rPr>
                <w:rFonts w:hint="eastAsia" w:ascii="宋体" w:hAnsi="宋体" w:eastAsia="宋体" w:cs="宋体"/>
                <w:i w:val="0"/>
                <w:iCs w:val="0"/>
                <w:color w:val="auto"/>
                <w:sz w:val="22"/>
                <w:szCs w:val="22"/>
                <w:highlight w:val="none"/>
                <w:u w:val="none"/>
              </w:rPr>
            </w:pPr>
          </w:p>
        </w:tc>
      </w:tr>
      <w:tr w14:paraId="72C74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20" w:hRule="atLeast"/>
        </w:trPr>
        <w:tc>
          <w:tcPr>
            <w:tcW w:w="256" w:type="pct"/>
            <w:tcBorders>
              <w:tl2br w:val="nil"/>
              <w:tr2bl w:val="nil"/>
            </w:tcBorders>
            <w:shd w:val="clear" w:color="auto" w:fill="FFFFFF" w:themeFill="background1"/>
            <w:vAlign w:val="center"/>
          </w:tcPr>
          <w:p w14:paraId="542644D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310" w:type="pct"/>
            <w:vMerge w:val="continue"/>
            <w:tcBorders>
              <w:tl2br w:val="nil"/>
              <w:tr2bl w:val="nil"/>
            </w:tcBorders>
            <w:shd w:val="clear" w:color="auto" w:fill="FFFFFF" w:themeFill="background1"/>
            <w:vAlign w:val="center"/>
          </w:tcPr>
          <w:p w14:paraId="4A10B8A3">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029DCC8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洗衣房：地面干净、整洁，物品摆放有序；洗衣机按要求定期清洗、消毒，有记录并存档；浸泡池干净无污物，浸泡的衣物及时清洗，一项不符合要求扣0.1分</w:t>
            </w:r>
          </w:p>
        </w:tc>
        <w:tc>
          <w:tcPr>
            <w:tcW w:w="320" w:type="pct"/>
            <w:tcBorders>
              <w:tl2br w:val="nil"/>
              <w:tr2bl w:val="nil"/>
            </w:tcBorders>
            <w:shd w:val="clear" w:color="auto" w:fill="FFFFFF" w:themeFill="background1"/>
            <w:vAlign w:val="center"/>
          </w:tcPr>
          <w:p w14:paraId="44DB02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3B1D317">
            <w:pPr>
              <w:rPr>
                <w:rFonts w:hint="eastAsia" w:ascii="宋体" w:hAnsi="宋体" w:eastAsia="宋体" w:cs="宋体"/>
                <w:i w:val="0"/>
                <w:iCs w:val="0"/>
                <w:color w:val="auto"/>
                <w:sz w:val="22"/>
                <w:szCs w:val="22"/>
                <w:highlight w:val="none"/>
                <w:u w:val="none"/>
              </w:rPr>
            </w:pPr>
          </w:p>
        </w:tc>
      </w:tr>
      <w:tr w14:paraId="1CBFC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256" w:type="pct"/>
            <w:tcBorders>
              <w:tl2br w:val="nil"/>
              <w:tr2bl w:val="nil"/>
            </w:tcBorders>
            <w:shd w:val="clear" w:color="auto" w:fill="FFFFFF" w:themeFill="background1"/>
            <w:vAlign w:val="center"/>
          </w:tcPr>
          <w:p w14:paraId="630C84D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w:t>
            </w:r>
          </w:p>
        </w:tc>
        <w:tc>
          <w:tcPr>
            <w:tcW w:w="310" w:type="pct"/>
            <w:vMerge w:val="continue"/>
            <w:tcBorders>
              <w:tl2br w:val="nil"/>
              <w:tr2bl w:val="nil"/>
            </w:tcBorders>
            <w:shd w:val="clear" w:color="auto" w:fill="FFFFFF" w:themeFill="background1"/>
            <w:vAlign w:val="center"/>
          </w:tcPr>
          <w:p w14:paraId="36D76534">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7A45590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公共卫生间：地面洁净无水渍；墙面洁净无污渍；面盆、拖把池洁净无污渍；卫生用具清洗干净，摆放有序，不滴水；卫生间门把手功能完好，洁净，未粘贴牛皮癣广告；便池洁净，无污物；窗户框无灰尘，玻璃洁净，一项不符合要求扣0.1分</w:t>
            </w:r>
          </w:p>
        </w:tc>
        <w:tc>
          <w:tcPr>
            <w:tcW w:w="320" w:type="pct"/>
            <w:tcBorders>
              <w:tl2br w:val="nil"/>
              <w:tr2bl w:val="nil"/>
            </w:tcBorders>
            <w:shd w:val="clear" w:color="auto" w:fill="FFFFFF" w:themeFill="background1"/>
            <w:vAlign w:val="center"/>
          </w:tcPr>
          <w:p w14:paraId="2B1A403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C87F61D">
            <w:pPr>
              <w:rPr>
                <w:rFonts w:hint="eastAsia" w:ascii="宋体" w:hAnsi="宋体" w:eastAsia="宋体" w:cs="宋体"/>
                <w:i w:val="0"/>
                <w:iCs w:val="0"/>
                <w:color w:val="auto"/>
                <w:sz w:val="22"/>
                <w:szCs w:val="22"/>
                <w:highlight w:val="none"/>
                <w:u w:val="none"/>
              </w:rPr>
            </w:pPr>
          </w:p>
        </w:tc>
      </w:tr>
      <w:tr w14:paraId="44C2E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220" w:hRule="atLeast"/>
        </w:trPr>
        <w:tc>
          <w:tcPr>
            <w:tcW w:w="256" w:type="pct"/>
            <w:tcBorders>
              <w:tl2br w:val="nil"/>
              <w:tr2bl w:val="nil"/>
            </w:tcBorders>
            <w:shd w:val="clear" w:color="auto" w:fill="FFFFFF" w:themeFill="background1"/>
            <w:vAlign w:val="center"/>
          </w:tcPr>
          <w:p w14:paraId="5B46464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w:t>
            </w:r>
          </w:p>
        </w:tc>
        <w:tc>
          <w:tcPr>
            <w:tcW w:w="310" w:type="pct"/>
            <w:vMerge w:val="continue"/>
            <w:tcBorders>
              <w:tl2br w:val="nil"/>
              <w:tr2bl w:val="nil"/>
            </w:tcBorders>
            <w:shd w:val="clear" w:color="auto" w:fill="FFFFFF" w:themeFill="background1"/>
            <w:vAlign w:val="center"/>
          </w:tcPr>
          <w:p w14:paraId="0B39B7A7">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6EC03E6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老人起居室：房间定时开窗通风，干净、舒适、无异味；床铺干净、整洁，无污渍、渣屑，床下保持干净，无物品摆放；地面干净、无水渍，无杂物随意摆放；洗漱间干净、整洁，物品摆放有序，无污物、无污水；衣柜内、抽屉里物品分类、有序摆放；无过期物品、药品；不使用违章电器，未乱搭电线、不使用存在安全隐患的物品（如剪刀、绳子、蚊香等）；老人办理出院手续当天搞好房间卫生，一项不符合要求扣0.1分</w:t>
            </w:r>
          </w:p>
        </w:tc>
        <w:tc>
          <w:tcPr>
            <w:tcW w:w="320" w:type="pct"/>
            <w:tcBorders>
              <w:tl2br w:val="nil"/>
              <w:tr2bl w:val="nil"/>
            </w:tcBorders>
            <w:shd w:val="clear" w:color="auto" w:fill="FFFFFF" w:themeFill="background1"/>
            <w:vAlign w:val="center"/>
          </w:tcPr>
          <w:p w14:paraId="0B804DC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9EC2C8D">
            <w:pPr>
              <w:rPr>
                <w:rFonts w:hint="eastAsia" w:ascii="宋体" w:hAnsi="宋体" w:eastAsia="宋体" w:cs="宋体"/>
                <w:i w:val="0"/>
                <w:iCs w:val="0"/>
                <w:color w:val="auto"/>
                <w:sz w:val="22"/>
                <w:szCs w:val="22"/>
                <w:highlight w:val="none"/>
                <w:u w:val="none"/>
              </w:rPr>
            </w:pPr>
          </w:p>
        </w:tc>
      </w:tr>
      <w:tr w14:paraId="79DD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00" w:hRule="atLeast"/>
        </w:trPr>
        <w:tc>
          <w:tcPr>
            <w:tcW w:w="256" w:type="pct"/>
            <w:tcBorders>
              <w:tl2br w:val="nil"/>
              <w:tr2bl w:val="nil"/>
            </w:tcBorders>
            <w:shd w:val="clear" w:color="auto" w:fill="FFFFFF" w:themeFill="background1"/>
            <w:vAlign w:val="center"/>
          </w:tcPr>
          <w:p w14:paraId="689DBF6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w:t>
            </w:r>
          </w:p>
        </w:tc>
        <w:tc>
          <w:tcPr>
            <w:tcW w:w="310" w:type="pct"/>
            <w:vMerge w:val="continue"/>
            <w:tcBorders>
              <w:tl2br w:val="nil"/>
              <w:tr2bl w:val="nil"/>
            </w:tcBorders>
            <w:shd w:val="clear" w:color="auto" w:fill="FFFFFF" w:themeFill="background1"/>
            <w:vAlign w:val="center"/>
          </w:tcPr>
          <w:p w14:paraId="2D80B81C">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0616B87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绿化植物及时浇水、处理杂草，保证绿植无干枯、死亡现象。未及时处理杂草扣0.2分，绿植干枯、死亡根据实际情况予以扣分。</w:t>
            </w:r>
          </w:p>
        </w:tc>
        <w:tc>
          <w:tcPr>
            <w:tcW w:w="320" w:type="pct"/>
            <w:tcBorders>
              <w:tl2br w:val="nil"/>
              <w:tr2bl w:val="nil"/>
            </w:tcBorders>
            <w:shd w:val="clear" w:color="auto" w:fill="FFFFFF" w:themeFill="background1"/>
            <w:vAlign w:val="center"/>
          </w:tcPr>
          <w:p w14:paraId="04F4B5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78" w:type="pct"/>
            <w:tcBorders>
              <w:tl2br w:val="nil"/>
              <w:tr2bl w:val="nil"/>
            </w:tcBorders>
            <w:shd w:val="clear" w:color="auto" w:fill="FFFFFF" w:themeFill="background1"/>
            <w:vAlign w:val="center"/>
          </w:tcPr>
          <w:p w14:paraId="24654410">
            <w:pPr>
              <w:rPr>
                <w:rFonts w:hint="eastAsia" w:ascii="宋体" w:hAnsi="宋体" w:eastAsia="宋体" w:cs="宋体"/>
                <w:i w:val="0"/>
                <w:iCs w:val="0"/>
                <w:color w:val="auto"/>
                <w:sz w:val="22"/>
                <w:szCs w:val="22"/>
                <w:highlight w:val="none"/>
                <w:u w:val="none"/>
              </w:rPr>
            </w:pPr>
          </w:p>
        </w:tc>
      </w:tr>
      <w:tr w14:paraId="1D483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40" w:hRule="atLeast"/>
        </w:trPr>
        <w:tc>
          <w:tcPr>
            <w:tcW w:w="256" w:type="pct"/>
            <w:tcBorders>
              <w:tl2br w:val="nil"/>
              <w:tr2bl w:val="nil"/>
            </w:tcBorders>
            <w:shd w:val="clear" w:color="auto" w:fill="FFFFFF" w:themeFill="background1"/>
            <w:vAlign w:val="center"/>
          </w:tcPr>
          <w:p w14:paraId="16E94D7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w:t>
            </w:r>
          </w:p>
        </w:tc>
        <w:tc>
          <w:tcPr>
            <w:tcW w:w="310" w:type="pct"/>
            <w:vMerge w:val="restart"/>
            <w:tcBorders>
              <w:tl2br w:val="nil"/>
              <w:tr2bl w:val="nil"/>
            </w:tcBorders>
            <w:shd w:val="clear" w:color="auto" w:fill="FFFFFF" w:themeFill="background1"/>
            <w:vAlign w:val="center"/>
          </w:tcPr>
          <w:p w14:paraId="6EF1996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膳食服务</w:t>
            </w:r>
          </w:p>
        </w:tc>
        <w:tc>
          <w:tcPr>
            <w:tcW w:w="3833" w:type="pct"/>
            <w:tcBorders>
              <w:tl2br w:val="nil"/>
              <w:tr2bl w:val="nil"/>
            </w:tcBorders>
            <w:shd w:val="clear" w:color="auto" w:fill="FFFFFF" w:themeFill="background1"/>
            <w:vAlign w:val="center"/>
          </w:tcPr>
          <w:p w14:paraId="591C00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在醒目位置公示食品经营许可证。食品经营许可证合法有效，经营场所、主体业态、经营项目等事项与食品经营许可证一致。无食品经营许可证或经营事项不一致的扣1分。</w:t>
            </w:r>
          </w:p>
        </w:tc>
        <w:tc>
          <w:tcPr>
            <w:tcW w:w="320" w:type="pct"/>
            <w:tcBorders>
              <w:tl2br w:val="nil"/>
              <w:tr2bl w:val="nil"/>
            </w:tcBorders>
            <w:shd w:val="clear" w:color="auto" w:fill="FFFFFF" w:themeFill="background1"/>
            <w:vAlign w:val="center"/>
          </w:tcPr>
          <w:p w14:paraId="196CA4C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3896E22D">
            <w:pPr>
              <w:rPr>
                <w:rFonts w:hint="eastAsia" w:ascii="宋体" w:hAnsi="宋体" w:eastAsia="宋体" w:cs="宋体"/>
                <w:i w:val="0"/>
                <w:iCs w:val="0"/>
                <w:color w:val="auto"/>
                <w:sz w:val="22"/>
                <w:szCs w:val="22"/>
                <w:highlight w:val="none"/>
                <w:u w:val="none"/>
              </w:rPr>
            </w:pPr>
          </w:p>
        </w:tc>
      </w:tr>
      <w:tr w14:paraId="6A493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56" w:type="pct"/>
            <w:tcBorders>
              <w:tl2br w:val="nil"/>
              <w:tr2bl w:val="nil"/>
            </w:tcBorders>
            <w:shd w:val="clear" w:color="auto" w:fill="FFFFFF" w:themeFill="background1"/>
            <w:vAlign w:val="center"/>
          </w:tcPr>
          <w:p w14:paraId="3A6FC7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21</w:t>
            </w:r>
          </w:p>
        </w:tc>
        <w:tc>
          <w:tcPr>
            <w:tcW w:w="310" w:type="pct"/>
            <w:vMerge w:val="continue"/>
            <w:tcBorders>
              <w:tl2br w:val="nil"/>
              <w:tr2bl w:val="nil"/>
            </w:tcBorders>
            <w:shd w:val="clear" w:color="auto" w:fill="FFFFFF" w:themeFill="background1"/>
            <w:vAlign w:val="center"/>
          </w:tcPr>
          <w:p w14:paraId="47F79977">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2F490E0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提供适合老年人的营养膳食，以及各种不同形态的膳食。食谱每周更新一次，且一周内不重复，向老年人公布并存档。临时调整时，需提前1天告知。餐食与食谱相符率达90%及以上。食谱未及时公布每次扣0.5分，食谱不符每次扣0.2分。</w:t>
            </w:r>
          </w:p>
        </w:tc>
        <w:tc>
          <w:tcPr>
            <w:tcW w:w="320" w:type="pct"/>
            <w:tcBorders>
              <w:tl2br w:val="nil"/>
              <w:tr2bl w:val="nil"/>
            </w:tcBorders>
            <w:shd w:val="clear" w:color="auto" w:fill="FFFFFF" w:themeFill="background1"/>
            <w:vAlign w:val="center"/>
          </w:tcPr>
          <w:p w14:paraId="42D674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1CE84AD">
            <w:pPr>
              <w:rPr>
                <w:rFonts w:hint="eastAsia" w:ascii="宋体" w:hAnsi="宋体" w:eastAsia="宋体" w:cs="宋体"/>
                <w:i w:val="0"/>
                <w:iCs w:val="0"/>
                <w:color w:val="auto"/>
                <w:sz w:val="22"/>
                <w:szCs w:val="22"/>
                <w:highlight w:val="none"/>
                <w:u w:val="none"/>
              </w:rPr>
            </w:pPr>
          </w:p>
        </w:tc>
      </w:tr>
      <w:tr w14:paraId="2EF0D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6" w:type="pct"/>
            <w:tcBorders>
              <w:tl2br w:val="nil"/>
              <w:tr2bl w:val="nil"/>
            </w:tcBorders>
            <w:shd w:val="clear" w:color="auto" w:fill="FFFFFF" w:themeFill="background1"/>
            <w:vAlign w:val="center"/>
          </w:tcPr>
          <w:p w14:paraId="51A3658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w:t>
            </w:r>
          </w:p>
        </w:tc>
        <w:tc>
          <w:tcPr>
            <w:tcW w:w="310" w:type="pct"/>
            <w:vMerge w:val="continue"/>
            <w:tcBorders>
              <w:tl2br w:val="nil"/>
              <w:tr2bl w:val="nil"/>
            </w:tcBorders>
            <w:shd w:val="clear" w:color="auto" w:fill="FFFFFF" w:themeFill="background1"/>
            <w:vAlign w:val="center"/>
          </w:tcPr>
          <w:p w14:paraId="4B8C2A32">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1F35DAE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设食品安全员，负责每日餐饮服务的监督。未设立食品安全员的扣1分，未每日开展餐饮服务监督每次扣0.2分。</w:t>
            </w:r>
          </w:p>
        </w:tc>
        <w:tc>
          <w:tcPr>
            <w:tcW w:w="320" w:type="pct"/>
            <w:tcBorders>
              <w:tl2br w:val="nil"/>
              <w:tr2bl w:val="nil"/>
            </w:tcBorders>
            <w:shd w:val="clear" w:color="auto" w:fill="FFFFFF" w:themeFill="background1"/>
            <w:vAlign w:val="center"/>
          </w:tcPr>
          <w:p w14:paraId="45BD4DF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1CFBCFA">
            <w:pPr>
              <w:rPr>
                <w:rFonts w:hint="eastAsia" w:ascii="宋体" w:hAnsi="宋体" w:eastAsia="宋体" w:cs="宋体"/>
                <w:i w:val="0"/>
                <w:iCs w:val="0"/>
                <w:color w:val="auto"/>
                <w:sz w:val="22"/>
                <w:szCs w:val="22"/>
                <w:highlight w:val="none"/>
                <w:u w:val="none"/>
              </w:rPr>
            </w:pPr>
          </w:p>
        </w:tc>
      </w:tr>
      <w:tr w14:paraId="3677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56" w:type="pct"/>
            <w:tcBorders>
              <w:tl2br w:val="nil"/>
              <w:tr2bl w:val="nil"/>
            </w:tcBorders>
            <w:shd w:val="clear" w:color="auto" w:fill="FFFFFF" w:themeFill="background1"/>
            <w:vAlign w:val="center"/>
          </w:tcPr>
          <w:p w14:paraId="1F05F82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23</w:t>
            </w:r>
          </w:p>
        </w:tc>
        <w:tc>
          <w:tcPr>
            <w:tcW w:w="310" w:type="pct"/>
            <w:vMerge w:val="restart"/>
            <w:tcBorders>
              <w:tl2br w:val="nil"/>
              <w:tr2bl w:val="nil"/>
            </w:tcBorders>
            <w:shd w:val="clear" w:color="auto" w:fill="FFFFFF" w:themeFill="background1"/>
            <w:vAlign w:val="center"/>
          </w:tcPr>
          <w:p w14:paraId="397B3F7A">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膳食服务</w:t>
            </w:r>
          </w:p>
        </w:tc>
        <w:tc>
          <w:tcPr>
            <w:tcW w:w="3833" w:type="pct"/>
            <w:tcBorders>
              <w:tl2br w:val="nil"/>
              <w:tr2bl w:val="nil"/>
            </w:tcBorders>
            <w:shd w:val="clear" w:color="auto" w:fill="FFFFFF" w:themeFill="background1"/>
            <w:vAlign w:val="center"/>
          </w:tcPr>
          <w:p w14:paraId="54A38F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有专兼职营养师，为老年人搭配饮食，确保营养均衡。未配备专兼职营养师扣1分，未为老年人搭配饮食，确保营养均衡每次扣0.2分。</w:t>
            </w:r>
          </w:p>
        </w:tc>
        <w:tc>
          <w:tcPr>
            <w:tcW w:w="320" w:type="pct"/>
            <w:tcBorders>
              <w:tl2br w:val="nil"/>
              <w:tr2bl w:val="nil"/>
            </w:tcBorders>
            <w:shd w:val="clear" w:color="auto" w:fill="FFFFFF" w:themeFill="background1"/>
            <w:vAlign w:val="center"/>
          </w:tcPr>
          <w:p w14:paraId="5750FE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28DD4F4F">
            <w:pPr>
              <w:rPr>
                <w:rFonts w:hint="eastAsia" w:ascii="宋体" w:hAnsi="宋体" w:eastAsia="宋体" w:cs="宋体"/>
                <w:i w:val="0"/>
                <w:iCs w:val="0"/>
                <w:color w:val="auto"/>
                <w:sz w:val="22"/>
                <w:szCs w:val="22"/>
                <w:highlight w:val="none"/>
                <w:u w:val="none"/>
              </w:rPr>
            </w:pPr>
          </w:p>
        </w:tc>
      </w:tr>
      <w:tr w14:paraId="6BF3F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00" w:hRule="atLeast"/>
        </w:trPr>
        <w:tc>
          <w:tcPr>
            <w:tcW w:w="256" w:type="pct"/>
            <w:tcBorders>
              <w:tl2br w:val="nil"/>
              <w:tr2bl w:val="nil"/>
            </w:tcBorders>
            <w:shd w:val="clear" w:color="auto" w:fill="FFFFFF" w:themeFill="background1"/>
            <w:vAlign w:val="center"/>
          </w:tcPr>
          <w:p w14:paraId="5E2F644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w:t>
            </w:r>
          </w:p>
        </w:tc>
        <w:tc>
          <w:tcPr>
            <w:tcW w:w="310" w:type="pct"/>
            <w:vMerge w:val="continue"/>
            <w:tcBorders>
              <w:tl2br w:val="nil"/>
              <w:tr2bl w:val="nil"/>
            </w:tcBorders>
            <w:shd w:val="clear" w:color="auto" w:fill="FFFFFF" w:themeFill="background1"/>
            <w:vAlign w:val="center"/>
          </w:tcPr>
          <w:p w14:paraId="7526FC14">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5F57AB3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采购食品时，应查验供货者的许可证和食品出厂检验合格证或者其他合格证明。采购食品不合格，每次扣0.2分。</w:t>
            </w:r>
          </w:p>
        </w:tc>
        <w:tc>
          <w:tcPr>
            <w:tcW w:w="320" w:type="pct"/>
            <w:tcBorders>
              <w:tl2br w:val="nil"/>
              <w:tr2bl w:val="nil"/>
            </w:tcBorders>
            <w:shd w:val="clear" w:color="auto" w:fill="FFFFFF" w:themeFill="background1"/>
            <w:vAlign w:val="center"/>
          </w:tcPr>
          <w:p w14:paraId="0E6CE1D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DF844AB">
            <w:pPr>
              <w:rPr>
                <w:rFonts w:hint="eastAsia" w:ascii="宋体" w:hAnsi="宋体" w:eastAsia="宋体" w:cs="宋体"/>
                <w:i w:val="0"/>
                <w:iCs w:val="0"/>
                <w:color w:val="auto"/>
                <w:sz w:val="22"/>
                <w:szCs w:val="22"/>
                <w:highlight w:val="none"/>
                <w:u w:val="none"/>
              </w:rPr>
            </w:pPr>
          </w:p>
        </w:tc>
      </w:tr>
      <w:tr w14:paraId="78772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80" w:hRule="atLeast"/>
        </w:trPr>
        <w:tc>
          <w:tcPr>
            <w:tcW w:w="256" w:type="pct"/>
            <w:tcBorders>
              <w:tl2br w:val="nil"/>
              <w:tr2bl w:val="nil"/>
            </w:tcBorders>
            <w:shd w:val="clear" w:color="auto" w:fill="FFFFFF" w:themeFill="background1"/>
            <w:vAlign w:val="center"/>
          </w:tcPr>
          <w:p w14:paraId="1281EEE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25</w:t>
            </w:r>
          </w:p>
        </w:tc>
        <w:tc>
          <w:tcPr>
            <w:tcW w:w="310" w:type="pct"/>
            <w:vMerge w:val="continue"/>
            <w:tcBorders>
              <w:tl2br w:val="nil"/>
              <w:tr2bl w:val="nil"/>
            </w:tcBorders>
            <w:shd w:val="clear" w:color="auto" w:fill="FFFFFF" w:themeFill="background1"/>
            <w:vAlign w:val="center"/>
          </w:tcPr>
          <w:p w14:paraId="4B34C46F">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1449133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原料外包装标识符合要求，按照外包装标识的条件和要求规范贮存，并定期检查，原料外包装标识不符合要求每次扣0.2分。</w:t>
            </w:r>
          </w:p>
        </w:tc>
        <w:tc>
          <w:tcPr>
            <w:tcW w:w="320" w:type="pct"/>
            <w:tcBorders>
              <w:tl2br w:val="nil"/>
              <w:tr2bl w:val="nil"/>
            </w:tcBorders>
            <w:shd w:val="clear" w:color="auto" w:fill="FFFFFF" w:themeFill="background1"/>
            <w:vAlign w:val="center"/>
          </w:tcPr>
          <w:p w14:paraId="3537B7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D227001">
            <w:pPr>
              <w:rPr>
                <w:rFonts w:hint="eastAsia" w:ascii="宋体" w:hAnsi="宋体" w:eastAsia="宋体" w:cs="宋体"/>
                <w:i w:val="0"/>
                <w:iCs w:val="0"/>
                <w:color w:val="auto"/>
                <w:sz w:val="22"/>
                <w:szCs w:val="22"/>
                <w:highlight w:val="none"/>
                <w:u w:val="none"/>
              </w:rPr>
            </w:pPr>
          </w:p>
        </w:tc>
      </w:tr>
      <w:tr w14:paraId="3CE6C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40" w:hRule="atLeast"/>
        </w:trPr>
        <w:tc>
          <w:tcPr>
            <w:tcW w:w="256" w:type="pct"/>
            <w:tcBorders>
              <w:tl2br w:val="nil"/>
              <w:tr2bl w:val="nil"/>
            </w:tcBorders>
            <w:shd w:val="clear" w:color="auto" w:fill="FFFFFF" w:themeFill="background1"/>
            <w:vAlign w:val="center"/>
          </w:tcPr>
          <w:p w14:paraId="4225279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w:t>
            </w:r>
          </w:p>
        </w:tc>
        <w:tc>
          <w:tcPr>
            <w:tcW w:w="310" w:type="pct"/>
            <w:vMerge w:val="continue"/>
            <w:tcBorders>
              <w:tl2br w:val="nil"/>
              <w:tr2bl w:val="nil"/>
            </w:tcBorders>
            <w:shd w:val="clear" w:color="auto" w:fill="FFFFFF" w:themeFill="background1"/>
            <w:vAlign w:val="center"/>
          </w:tcPr>
          <w:p w14:paraId="3414A769">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040C867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及时清理变质或者超过保质期的食品。发现过期变质、超过保质期食品未清理的每次扣0.5分。</w:t>
            </w:r>
          </w:p>
        </w:tc>
        <w:tc>
          <w:tcPr>
            <w:tcW w:w="320" w:type="pct"/>
            <w:tcBorders>
              <w:tl2br w:val="nil"/>
              <w:tr2bl w:val="nil"/>
            </w:tcBorders>
            <w:shd w:val="clear" w:color="auto" w:fill="FFFFFF" w:themeFill="background1"/>
            <w:vAlign w:val="center"/>
          </w:tcPr>
          <w:p w14:paraId="23AE808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36DF53C2">
            <w:pPr>
              <w:jc w:val="left"/>
              <w:rPr>
                <w:rFonts w:hint="eastAsia" w:ascii="宋体" w:hAnsi="宋体" w:eastAsia="宋体" w:cs="宋体"/>
                <w:i w:val="0"/>
                <w:iCs w:val="0"/>
                <w:color w:val="auto"/>
                <w:sz w:val="22"/>
                <w:szCs w:val="22"/>
                <w:highlight w:val="none"/>
                <w:u w:val="none"/>
              </w:rPr>
            </w:pPr>
          </w:p>
        </w:tc>
      </w:tr>
      <w:tr w14:paraId="631C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60" w:hRule="atLeast"/>
        </w:trPr>
        <w:tc>
          <w:tcPr>
            <w:tcW w:w="256" w:type="pct"/>
            <w:tcBorders>
              <w:tl2br w:val="nil"/>
              <w:tr2bl w:val="nil"/>
            </w:tcBorders>
            <w:shd w:val="clear" w:color="auto" w:fill="FFFFFF" w:themeFill="background1"/>
            <w:vAlign w:val="center"/>
          </w:tcPr>
          <w:p w14:paraId="0D1A7D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27</w:t>
            </w:r>
          </w:p>
        </w:tc>
        <w:tc>
          <w:tcPr>
            <w:tcW w:w="310" w:type="pct"/>
            <w:vMerge w:val="continue"/>
            <w:tcBorders>
              <w:tl2br w:val="nil"/>
              <w:tr2bl w:val="nil"/>
            </w:tcBorders>
            <w:shd w:val="clear" w:color="auto" w:fill="FFFFFF" w:themeFill="background1"/>
            <w:vAlign w:val="center"/>
          </w:tcPr>
          <w:p w14:paraId="230FB5AC">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09B3F2C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食品添加剂由专人负责保管、领用、登记，并有相关记录。记录不全，每处扣0.1</w:t>
            </w:r>
          </w:p>
        </w:tc>
        <w:tc>
          <w:tcPr>
            <w:tcW w:w="320" w:type="pct"/>
            <w:tcBorders>
              <w:tl2br w:val="nil"/>
              <w:tr2bl w:val="nil"/>
            </w:tcBorders>
            <w:shd w:val="clear" w:color="auto" w:fill="FFFFFF" w:themeFill="background1"/>
            <w:vAlign w:val="center"/>
          </w:tcPr>
          <w:p w14:paraId="06AEC4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D52FF1E">
            <w:pPr>
              <w:jc w:val="left"/>
              <w:rPr>
                <w:rFonts w:hint="eastAsia" w:ascii="宋体" w:hAnsi="宋体" w:eastAsia="宋体" w:cs="宋体"/>
                <w:i w:val="0"/>
                <w:iCs w:val="0"/>
                <w:color w:val="auto"/>
                <w:sz w:val="22"/>
                <w:szCs w:val="22"/>
                <w:highlight w:val="none"/>
                <w:u w:val="none"/>
              </w:rPr>
            </w:pPr>
          </w:p>
        </w:tc>
      </w:tr>
      <w:tr w14:paraId="55BD7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256" w:type="pct"/>
            <w:tcBorders>
              <w:tl2br w:val="nil"/>
              <w:tr2bl w:val="nil"/>
            </w:tcBorders>
            <w:shd w:val="clear" w:color="auto" w:fill="FFFFFF" w:themeFill="background1"/>
            <w:vAlign w:val="center"/>
          </w:tcPr>
          <w:p w14:paraId="0AB960B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w:t>
            </w:r>
          </w:p>
        </w:tc>
        <w:tc>
          <w:tcPr>
            <w:tcW w:w="310" w:type="pct"/>
            <w:vMerge w:val="continue"/>
            <w:tcBorders>
              <w:tl2br w:val="nil"/>
              <w:tr2bl w:val="nil"/>
            </w:tcBorders>
            <w:shd w:val="clear" w:color="auto" w:fill="FFFFFF" w:themeFill="background1"/>
            <w:vAlign w:val="center"/>
          </w:tcPr>
          <w:p w14:paraId="60A40C6E">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1CFBA6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食品原料、半成品与成品在盛放、贮存时相互分开。未按规范区分每次扣0.5分。</w:t>
            </w:r>
          </w:p>
        </w:tc>
        <w:tc>
          <w:tcPr>
            <w:tcW w:w="320" w:type="pct"/>
            <w:tcBorders>
              <w:tl2br w:val="nil"/>
              <w:tr2bl w:val="nil"/>
            </w:tcBorders>
            <w:shd w:val="clear" w:color="auto" w:fill="FFFFFF" w:themeFill="background1"/>
            <w:vAlign w:val="center"/>
          </w:tcPr>
          <w:p w14:paraId="1F468A1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74607136">
            <w:pPr>
              <w:jc w:val="left"/>
              <w:rPr>
                <w:rFonts w:hint="eastAsia" w:ascii="宋体" w:hAnsi="宋体" w:eastAsia="宋体" w:cs="宋体"/>
                <w:i w:val="0"/>
                <w:iCs w:val="0"/>
                <w:color w:val="auto"/>
                <w:sz w:val="22"/>
                <w:szCs w:val="22"/>
                <w:highlight w:val="none"/>
                <w:u w:val="none"/>
              </w:rPr>
            </w:pPr>
          </w:p>
        </w:tc>
      </w:tr>
      <w:tr w14:paraId="20A30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6" w:type="pct"/>
            <w:tcBorders>
              <w:tl2br w:val="nil"/>
              <w:tr2bl w:val="nil"/>
            </w:tcBorders>
            <w:shd w:val="clear" w:color="auto" w:fill="FFFFFF" w:themeFill="background1"/>
            <w:vAlign w:val="center"/>
          </w:tcPr>
          <w:p w14:paraId="78D855A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29</w:t>
            </w:r>
          </w:p>
        </w:tc>
        <w:tc>
          <w:tcPr>
            <w:tcW w:w="310" w:type="pct"/>
            <w:vMerge w:val="continue"/>
            <w:tcBorders>
              <w:tl2br w:val="nil"/>
              <w:tr2bl w:val="nil"/>
            </w:tcBorders>
            <w:shd w:val="clear" w:color="auto" w:fill="FFFFFF" w:themeFill="background1"/>
            <w:vAlign w:val="center"/>
          </w:tcPr>
          <w:p w14:paraId="70D16A95">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31C96A2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制作食品的设施设备及加工工具、容器等具有显著标识，按标识区分使用。未按规范区分使用每次扣0.5分。</w:t>
            </w:r>
          </w:p>
        </w:tc>
        <w:tc>
          <w:tcPr>
            <w:tcW w:w="320" w:type="pct"/>
            <w:tcBorders>
              <w:tl2br w:val="nil"/>
              <w:tr2bl w:val="nil"/>
            </w:tcBorders>
            <w:shd w:val="clear" w:color="auto" w:fill="FFFFFF" w:themeFill="background1"/>
            <w:vAlign w:val="center"/>
          </w:tcPr>
          <w:p w14:paraId="1E9189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2F981AB9">
            <w:pPr>
              <w:jc w:val="left"/>
              <w:rPr>
                <w:rFonts w:hint="eastAsia" w:ascii="宋体" w:hAnsi="宋体" w:eastAsia="宋体" w:cs="宋体"/>
                <w:i w:val="0"/>
                <w:iCs w:val="0"/>
                <w:color w:val="auto"/>
                <w:sz w:val="22"/>
                <w:szCs w:val="22"/>
                <w:highlight w:val="none"/>
                <w:u w:val="none"/>
              </w:rPr>
            </w:pPr>
          </w:p>
        </w:tc>
      </w:tr>
      <w:tr w14:paraId="76D3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56" w:type="pct"/>
            <w:tcBorders>
              <w:tl2br w:val="nil"/>
              <w:tr2bl w:val="nil"/>
            </w:tcBorders>
            <w:shd w:val="clear" w:color="auto" w:fill="FFFFFF" w:themeFill="background1"/>
            <w:vAlign w:val="center"/>
          </w:tcPr>
          <w:p w14:paraId="02091A8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c>
          <w:tcPr>
            <w:tcW w:w="310" w:type="pct"/>
            <w:vMerge w:val="continue"/>
            <w:tcBorders>
              <w:tl2br w:val="nil"/>
              <w:tr2bl w:val="nil"/>
            </w:tcBorders>
            <w:shd w:val="clear" w:color="auto" w:fill="FFFFFF" w:themeFill="background1"/>
            <w:vAlign w:val="center"/>
          </w:tcPr>
          <w:p w14:paraId="55E5B2A8">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0004323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生与熟、成品与半成品分开制作。未按规范区分每次扣0.5分。</w:t>
            </w:r>
          </w:p>
        </w:tc>
        <w:tc>
          <w:tcPr>
            <w:tcW w:w="320" w:type="pct"/>
            <w:tcBorders>
              <w:tl2br w:val="nil"/>
              <w:tr2bl w:val="nil"/>
            </w:tcBorders>
            <w:shd w:val="clear" w:color="auto" w:fill="FFFFFF" w:themeFill="background1"/>
            <w:vAlign w:val="center"/>
          </w:tcPr>
          <w:p w14:paraId="3FCA01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1A7223FB">
            <w:pPr>
              <w:jc w:val="left"/>
              <w:rPr>
                <w:rFonts w:hint="eastAsia" w:ascii="宋体" w:hAnsi="宋体" w:eastAsia="宋体" w:cs="宋体"/>
                <w:i w:val="0"/>
                <w:iCs w:val="0"/>
                <w:color w:val="auto"/>
                <w:sz w:val="22"/>
                <w:szCs w:val="22"/>
                <w:highlight w:val="none"/>
                <w:u w:val="none"/>
              </w:rPr>
            </w:pPr>
          </w:p>
        </w:tc>
      </w:tr>
      <w:tr w14:paraId="078A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60" w:hRule="atLeast"/>
        </w:trPr>
        <w:tc>
          <w:tcPr>
            <w:tcW w:w="256" w:type="pct"/>
            <w:tcBorders>
              <w:tl2br w:val="nil"/>
              <w:tr2bl w:val="nil"/>
            </w:tcBorders>
            <w:shd w:val="clear" w:color="auto" w:fill="FFFFFF" w:themeFill="background1"/>
            <w:vAlign w:val="center"/>
          </w:tcPr>
          <w:p w14:paraId="325C604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w:t>
            </w:r>
          </w:p>
        </w:tc>
        <w:tc>
          <w:tcPr>
            <w:tcW w:w="310" w:type="pct"/>
            <w:vMerge w:val="continue"/>
            <w:tcBorders>
              <w:tl2br w:val="nil"/>
              <w:tr2bl w:val="nil"/>
            </w:tcBorders>
            <w:shd w:val="clear" w:color="auto" w:fill="FFFFFF" w:themeFill="background1"/>
            <w:vAlign w:val="center"/>
          </w:tcPr>
          <w:p w14:paraId="25587692">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31424EC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建立食品留样备查制度。留样品种齐全，每个品种留样量不少于120g，留样容器外应记录食品名称、时间、餐别、采样人，将留样盒放入冰箱0-4 摄氏度，且储存时间不少于48小时。留样不规范每次扣0.2分；有专人做留样记录。记录不全，每次扣0.2分。</w:t>
            </w:r>
          </w:p>
        </w:tc>
        <w:tc>
          <w:tcPr>
            <w:tcW w:w="320" w:type="pct"/>
            <w:tcBorders>
              <w:tl2br w:val="nil"/>
              <w:tr2bl w:val="nil"/>
            </w:tcBorders>
            <w:shd w:val="clear" w:color="auto" w:fill="FFFFFF" w:themeFill="background1"/>
            <w:vAlign w:val="center"/>
          </w:tcPr>
          <w:p w14:paraId="5DD300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67663E35">
            <w:pPr>
              <w:jc w:val="left"/>
              <w:rPr>
                <w:rFonts w:hint="eastAsia" w:ascii="宋体" w:hAnsi="宋体" w:eastAsia="宋体" w:cs="宋体"/>
                <w:i w:val="0"/>
                <w:iCs w:val="0"/>
                <w:color w:val="auto"/>
                <w:sz w:val="22"/>
                <w:szCs w:val="22"/>
                <w:highlight w:val="none"/>
                <w:u w:val="none"/>
              </w:rPr>
            </w:pPr>
          </w:p>
        </w:tc>
      </w:tr>
      <w:tr w14:paraId="41FE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420" w:hRule="atLeast"/>
        </w:trPr>
        <w:tc>
          <w:tcPr>
            <w:tcW w:w="256" w:type="pct"/>
            <w:tcBorders>
              <w:tl2br w:val="nil"/>
              <w:tr2bl w:val="nil"/>
            </w:tcBorders>
            <w:shd w:val="clear" w:color="auto" w:fill="FFFFFF" w:themeFill="background1"/>
            <w:vAlign w:val="center"/>
          </w:tcPr>
          <w:p w14:paraId="380CB8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32</w:t>
            </w:r>
          </w:p>
        </w:tc>
        <w:tc>
          <w:tcPr>
            <w:tcW w:w="310" w:type="pct"/>
            <w:vMerge w:val="continue"/>
            <w:tcBorders>
              <w:tl2br w:val="nil"/>
              <w:tr2bl w:val="nil"/>
            </w:tcBorders>
            <w:shd w:val="clear" w:color="auto" w:fill="FFFFFF" w:themeFill="background1"/>
            <w:vAlign w:val="center"/>
          </w:tcPr>
          <w:p w14:paraId="0670B937">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1AA5A59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每餐后对餐（饮）具、送餐工具清洗消毒，有记录。记录不全，每处扣0.2分，未消毒每次扣0.2分。</w:t>
            </w:r>
          </w:p>
        </w:tc>
        <w:tc>
          <w:tcPr>
            <w:tcW w:w="320" w:type="pct"/>
            <w:tcBorders>
              <w:tl2br w:val="nil"/>
              <w:tr2bl w:val="nil"/>
            </w:tcBorders>
            <w:shd w:val="clear" w:color="auto" w:fill="FFFFFF" w:themeFill="background1"/>
            <w:vAlign w:val="center"/>
          </w:tcPr>
          <w:p w14:paraId="606B79C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7BEAA6A0">
            <w:pPr>
              <w:jc w:val="left"/>
              <w:rPr>
                <w:rFonts w:hint="eastAsia" w:ascii="宋体" w:hAnsi="宋体" w:eastAsia="宋体" w:cs="宋体"/>
                <w:i w:val="0"/>
                <w:iCs w:val="0"/>
                <w:color w:val="auto"/>
                <w:sz w:val="22"/>
                <w:szCs w:val="22"/>
                <w:highlight w:val="none"/>
                <w:u w:val="none"/>
              </w:rPr>
            </w:pPr>
          </w:p>
        </w:tc>
      </w:tr>
      <w:tr w14:paraId="5CA94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80" w:hRule="atLeast"/>
        </w:trPr>
        <w:tc>
          <w:tcPr>
            <w:tcW w:w="256" w:type="pct"/>
            <w:tcBorders>
              <w:tl2br w:val="nil"/>
              <w:tr2bl w:val="nil"/>
            </w:tcBorders>
            <w:shd w:val="clear" w:color="auto" w:fill="FFFFFF" w:themeFill="background1"/>
            <w:vAlign w:val="center"/>
          </w:tcPr>
          <w:p w14:paraId="463E8C1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c>
          <w:tcPr>
            <w:tcW w:w="310" w:type="pct"/>
            <w:vMerge w:val="continue"/>
            <w:tcBorders>
              <w:tl2br w:val="nil"/>
              <w:tr2bl w:val="nil"/>
            </w:tcBorders>
            <w:shd w:val="clear" w:color="auto" w:fill="FFFFFF" w:themeFill="background1"/>
            <w:vAlign w:val="center"/>
          </w:tcPr>
          <w:p w14:paraId="651C8C65">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7B5CCC9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每日处理餐厨垃圾，无积存。垃圾按规范处理并记录。记录不全，每次扣0.2分，未及时处理垃圾每次扣0.2分。</w:t>
            </w:r>
          </w:p>
        </w:tc>
        <w:tc>
          <w:tcPr>
            <w:tcW w:w="320" w:type="pct"/>
            <w:tcBorders>
              <w:tl2br w:val="nil"/>
              <w:tr2bl w:val="nil"/>
            </w:tcBorders>
            <w:shd w:val="clear" w:color="auto" w:fill="FFFFFF" w:themeFill="background1"/>
            <w:vAlign w:val="center"/>
          </w:tcPr>
          <w:p w14:paraId="08785B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7C3A39A4">
            <w:pPr>
              <w:jc w:val="left"/>
              <w:rPr>
                <w:rFonts w:hint="eastAsia" w:ascii="宋体" w:hAnsi="宋体" w:eastAsia="宋体" w:cs="宋体"/>
                <w:i w:val="0"/>
                <w:iCs w:val="0"/>
                <w:color w:val="auto"/>
                <w:sz w:val="22"/>
                <w:szCs w:val="22"/>
                <w:highlight w:val="none"/>
                <w:u w:val="none"/>
              </w:rPr>
            </w:pPr>
          </w:p>
        </w:tc>
      </w:tr>
      <w:tr w14:paraId="355F2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0" w:hRule="atLeast"/>
        </w:trPr>
        <w:tc>
          <w:tcPr>
            <w:tcW w:w="256" w:type="pct"/>
            <w:tcBorders>
              <w:tl2br w:val="nil"/>
              <w:tr2bl w:val="nil"/>
            </w:tcBorders>
            <w:shd w:val="clear" w:color="auto" w:fill="FFFFFF" w:themeFill="background1"/>
            <w:vAlign w:val="center"/>
          </w:tcPr>
          <w:p w14:paraId="0D4EAD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w:t>
            </w:r>
          </w:p>
        </w:tc>
        <w:tc>
          <w:tcPr>
            <w:tcW w:w="310" w:type="pct"/>
            <w:vMerge w:val="restart"/>
            <w:tcBorders>
              <w:tl2br w:val="nil"/>
              <w:tr2bl w:val="nil"/>
            </w:tcBorders>
            <w:shd w:val="clear" w:color="auto" w:fill="FFFFFF" w:themeFill="background1"/>
            <w:vAlign w:val="center"/>
          </w:tcPr>
          <w:p w14:paraId="571D2B0D">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安全管理</w:t>
            </w:r>
          </w:p>
        </w:tc>
        <w:tc>
          <w:tcPr>
            <w:tcW w:w="3833" w:type="pct"/>
            <w:tcBorders>
              <w:tl2br w:val="nil"/>
              <w:tr2bl w:val="nil"/>
            </w:tcBorders>
            <w:shd w:val="clear" w:color="auto" w:fill="FFFFFF" w:themeFill="background1"/>
            <w:vAlign w:val="center"/>
          </w:tcPr>
          <w:p w14:paraId="344B43F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健全安全管理组织机制并制定年度安全工作计划。未健全安全管理组织机制的扣1分；未制定年度安全工作计划的扣1分。</w:t>
            </w:r>
          </w:p>
        </w:tc>
        <w:tc>
          <w:tcPr>
            <w:tcW w:w="320" w:type="pct"/>
            <w:tcBorders>
              <w:tl2br w:val="nil"/>
              <w:tr2bl w:val="nil"/>
            </w:tcBorders>
            <w:shd w:val="clear" w:color="auto" w:fill="FFFFFF" w:themeFill="background1"/>
            <w:vAlign w:val="center"/>
          </w:tcPr>
          <w:p w14:paraId="6AAA3A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77ECC0CC">
            <w:pPr>
              <w:jc w:val="left"/>
              <w:rPr>
                <w:rFonts w:hint="eastAsia" w:ascii="宋体" w:hAnsi="宋体" w:eastAsia="宋体" w:cs="宋体"/>
                <w:i w:val="0"/>
                <w:iCs w:val="0"/>
                <w:color w:val="auto"/>
                <w:sz w:val="22"/>
                <w:szCs w:val="22"/>
                <w:highlight w:val="none"/>
                <w:u w:val="none"/>
              </w:rPr>
            </w:pPr>
          </w:p>
        </w:tc>
      </w:tr>
      <w:tr w14:paraId="28C04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00" w:hRule="atLeast"/>
        </w:trPr>
        <w:tc>
          <w:tcPr>
            <w:tcW w:w="256" w:type="pct"/>
            <w:tcBorders>
              <w:tl2br w:val="nil"/>
              <w:tr2bl w:val="nil"/>
            </w:tcBorders>
            <w:shd w:val="clear" w:color="auto" w:fill="FFFFFF" w:themeFill="background1"/>
            <w:vAlign w:val="center"/>
          </w:tcPr>
          <w:p w14:paraId="575746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c>
          <w:tcPr>
            <w:tcW w:w="310" w:type="pct"/>
            <w:vMerge w:val="continue"/>
            <w:tcBorders>
              <w:tl2br w:val="nil"/>
              <w:tr2bl w:val="nil"/>
            </w:tcBorders>
            <w:shd w:val="clear" w:color="auto" w:fill="FFFFFF" w:themeFill="background1"/>
            <w:vAlign w:val="center"/>
          </w:tcPr>
          <w:p w14:paraId="66F561DD">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5DBB165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建立安全管理制度并有相关执行记录，包括以下内容：（1）安全责任制度；（2）安全教育制度；（3）安全宣传及培训制度；（4）安全操作规范或规程；（5）安全检查制度；（6）事故处理与报告制度；缺少一项，每项扣0.5分。</w:t>
            </w:r>
          </w:p>
        </w:tc>
        <w:tc>
          <w:tcPr>
            <w:tcW w:w="320" w:type="pct"/>
            <w:tcBorders>
              <w:tl2br w:val="nil"/>
              <w:tr2bl w:val="nil"/>
            </w:tcBorders>
            <w:shd w:val="clear" w:color="auto" w:fill="FFFFFF" w:themeFill="background1"/>
            <w:vAlign w:val="center"/>
          </w:tcPr>
          <w:p w14:paraId="1F2BF99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8" w:type="pct"/>
            <w:tcBorders>
              <w:tl2br w:val="nil"/>
              <w:tr2bl w:val="nil"/>
            </w:tcBorders>
            <w:shd w:val="clear" w:color="auto" w:fill="FFFFFF" w:themeFill="background1"/>
            <w:vAlign w:val="center"/>
          </w:tcPr>
          <w:p w14:paraId="02C99E08">
            <w:pPr>
              <w:jc w:val="left"/>
              <w:rPr>
                <w:rFonts w:hint="eastAsia" w:ascii="宋体" w:hAnsi="宋体" w:eastAsia="宋体" w:cs="宋体"/>
                <w:i w:val="0"/>
                <w:iCs w:val="0"/>
                <w:color w:val="auto"/>
                <w:sz w:val="22"/>
                <w:szCs w:val="22"/>
                <w:highlight w:val="none"/>
                <w:u w:val="none"/>
              </w:rPr>
            </w:pPr>
          </w:p>
        </w:tc>
      </w:tr>
      <w:tr w14:paraId="43F49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80" w:hRule="atLeast"/>
        </w:trPr>
        <w:tc>
          <w:tcPr>
            <w:tcW w:w="256" w:type="pct"/>
            <w:tcBorders>
              <w:tl2br w:val="nil"/>
              <w:tr2bl w:val="nil"/>
            </w:tcBorders>
            <w:shd w:val="clear" w:color="auto" w:fill="FFFFFF" w:themeFill="background1"/>
            <w:vAlign w:val="center"/>
          </w:tcPr>
          <w:p w14:paraId="7AFC44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36</w:t>
            </w:r>
          </w:p>
        </w:tc>
        <w:tc>
          <w:tcPr>
            <w:tcW w:w="310" w:type="pct"/>
            <w:vMerge w:val="continue"/>
            <w:tcBorders>
              <w:tl2br w:val="nil"/>
              <w:tr2bl w:val="nil"/>
            </w:tcBorders>
            <w:shd w:val="clear" w:color="auto" w:fill="FFFFFF" w:themeFill="background1"/>
            <w:vAlign w:val="center"/>
          </w:tcPr>
          <w:p w14:paraId="1BA3AA94">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68E78B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签订安全责任书并开展岗前培训。未签订或未开展岗前培训，有一人扣0.5分。</w:t>
            </w:r>
          </w:p>
        </w:tc>
        <w:tc>
          <w:tcPr>
            <w:tcW w:w="320" w:type="pct"/>
            <w:tcBorders>
              <w:tl2br w:val="nil"/>
              <w:tr2bl w:val="nil"/>
            </w:tcBorders>
            <w:shd w:val="clear" w:color="auto" w:fill="FFFFFF" w:themeFill="background1"/>
            <w:vAlign w:val="center"/>
          </w:tcPr>
          <w:p w14:paraId="319EAD5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7906DD95">
            <w:pPr>
              <w:jc w:val="left"/>
              <w:rPr>
                <w:rFonts w:hint="eastAsia" w:ascii="宋体" w:hAnsi="宋体" w:eastAsia="宋体" w:cs="宋体"/>
                <w:i w:val="0"/>
                <w:iCs w:val="0"/>
                <w:color w:val="auto"/>
                <w:sz w:val="22"/>
                <w:szCs w:val="22"/>
                <w:highlight w:val="none"/>
                <w:u w:val="none"/>
              </w:rPr>
            </w:pPr>
          </w:p>
        </w:tc>
      </w:tr>
      <w:tr w14:paraId="6F05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56" w:type="pct"/>
            <w:tcBorders>
              <w:tl2br w:val="nil"/>
              <w:tr2bl w:val="nil"/>
            </w:tcBorders>
            <w:shd w:val="clear" w:color="auto" w:fill="FFFFFF" w:themeFill="background1"/>
            <w:vAlign w:val="center"/>
          </w:tcPr>
          <w:p w14:paraId="3ADE767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37</w:t>
            </w:r>
          </w:p>
        </w:tc>
        <w:tc>
          <w:tcPr>
            <w:tcW w:w="310" w:type="pct"/>
            <w:vMerge w:val="continue"/>
            <w:tcBorders>
              <w:tl2br w:val="nil"/>
              <w:tr2bl w:val="nil"/>
            </w:tcBorders>
            <w:shd w:val="clear" w:color="auto" w:fill="FFFFFF" w:themeFill="background1"/>
            <w:vAlign w:val="center"/>
          </w:tcPr>
          <w:p w14:paraId="066DF9EC">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23D88F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每半年开展一次灭火和疏散演练。未开展灭火和疏散演练，有一次扣1分。</w:t>
            </w:r>
          </w:p>
        </w:tc>
        <w:tc>
          <w:tcPr>
            <w:tcW w:w="320" w:type="pct"/>
            <w:tcBorders>
              <w:tl2br w:val="nil"/>
              <w:tr2bl w:val="nil"/>
            </w:tcBorders>
            <w:shd w:val="clear" w:color="auto" w:fill="FFFFFF" w:themeFill="background1"/>
            <w:vAlign w:val="center"/>
          </w:tcPr>
          <w:p w14:paraId="05524F7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B2BC60D">
            <w:pPr>
              <w:jc w:val="left"/>
              <w:rPr>
                <w:rFonts w:hint="eastAsia" w:ascii="宋体" w:hAnsi="宋体" w:eastAsia="宋体" w:cs="宋体"/>
                <w:i w:val="0"/>
                <w:iCs w:val="0"/>
                <w:color w:val="auto"/>
                <w:sz w:val="22"/>
                <w:szCs w:val="22"/>
                <w:highlight w:val="none"/>
                <w:u w:val="none"/>
              </w:rPr>
            </w:pPr>
          </w:p>
        </w:tc>
      </w:tr>
      <w:tr w14:paraId="53635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760" w:hRule="atLeast"/>
        </w:trPr>
        <w:tc>
          <w:tcPr>
            <w:tcW w:w="256" w:type="pct"/>
            <w:tcBorders>
              <w:tl2br w:val="nil"/>
              <w:tr2bl w:val="nil"/>
            </w:tcBorders>
            <w:shd w:val="clear" w:color="auto" w:fill="FFFFFF" w:themeFill="background1"/>
            <w:vAlign w:val="center"/>
          </w:tcPr>
          <w:p w14:paraId="4B8C12E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38</w:t>
            </w:r>
          </w:p>
        </w:tc>
        <w:tc>
          <w:tcPr>
            <w:tcW w:w="310" w:type="pct"/>
            <w:vMerge w:val="continue"/>
            <w:tcBorders>
              <w:tl2br w:val="nil"/>
              <w:tr2bl w:val="nil"/>
            </w:tcBorders>
            <w:shd w:val="clear" w:color="auto" w:fill="FFFFFF" w:themeFill="background1"/>
            <w:vAlign w:val="center"/>
          </w:tcPr>
          <w:p w14:paraId="16800FF6">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17907BF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严格把好机构进、出门关，做好出入院登记，老人不允许随意放出，需凭请假条方可出来，遇到异常情况及时汇报。发现异常未及时汇报每次扣0.5分，擅自将老人放出并发生老人走失，将予以追责并每次扣1分。</w:t>
            </w:r>
          </w:p>
        </w:tc>
        <w:tc>
          <w:tcPr>
            <w:tcW w:w="320" w:type="pct"/>
            <w:tcBorders>
              <w:tl2br w:val="nil"/>
              <w:tr2bl w:val="nil"/>
            </w:tcBorders>
            <w:shd w:val="clear" w:color="auto" w:fill="FFFFFF" w:themeFill="background1"/>
            <w:vAlign w:val="center"/>
          </w:tcPr>
          <w:p w14:paraId="6109449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7B6F9A0">
            <w:pPr>
              <w:jc w:val="left"/>
              <w:rPr>
                <w:rFonts w:hint="eastAsia" w:ascii="宋体" w:hAnsi="宋体" w:eastAsia="宋体" w:cs="宋体"/>
                <w:i w:val="0"/>
                <w:iCs w:val="0"/>
                <w:color w:val="auto"/>
                <w:sz w:val="22"/>
                <w:szCs w:val="22"/>
                <w:highlight w:val="none"/>
                <w:u w:val="none"/>
              </w:rPr>
            </w:pPr>
          </w:p>
        </w:tc>
      </w:tr>
      <w:tr w14:paraId="2BB1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56" w:type="pct"/>
            <w:tcBorders>
              <w:tl2br w:val="nil"/>
              <w:tr2bl w:val="nil"/>
            </w:tcBorders>
            <w:shd w:val="clear" w:color="auto" w:fill="FFFFFF" w:themeFill="background1"/>
            <w:vAlign w:val="center"/>
          </w:tcPr>
          <w:p w14:paraId="7CC5B6E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39</w:t>
            </w:r>
          </w:p>
        </w:tc>
        <w:tc>
          <w:tcPr>
            <w:tcW w:w="310" w:type="pct"/>
            <w:vMerge w:val="continue"/>
            <w:tcBorders>
              <w:tl2br w:val="nil"/>
              <w:tr2bl w:val="nil"/>
            </w:tcBorders>
            <w:shd w:val="clear" w:color="auto" w:fill="FFFFFF" w:themeFill="background1"/>
            <w:vAlign w:val="center"/>
          </w:tcPr>
          <w:p w14:paraId="10B977CB">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6C6DB390">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加强进出车辆的管</w:t>
            </w:r>
            <w:r>
              <w:rPr>
                <w:rFonts w:hint="eastAsia" w:ascii="宋体" w:hAnsi="宋体" w:cs="宋体"/>
                <w:i w:val="0"/>
                <w:iCs w:val="0"/>
                <w:color w:val="auto"/>
                <w:kern w:val="0"/>
                <w:sz w:val="18"/>
                <w:szCs w:val="18"/>
                <w:highlight w:val="none"/>
                <w:u w:val="none"/>
                <w:lang w:val="en-US" w:eastAsia="zh-CN" w:bidi="ar"/>
              </w:rPr>
              <w:t>理和</w:t>
            </w:r>
            <w:r>
              <w:rPr>
                <w:rFonts w:hint="eastAsia" w:ascii="宋体" w:hAnsi="宋体" w:eastAsia="宋体" w:cs="宋体"/>
                <w:i w:val="0"/>
                <w:iCs w:val="0"/>
                <w:color w:val="auto"/>
                <w:kern w:val="0"/>
                <w:sz w:val="18"/>
                <w:szCs w:val="18"/>
                <w:highlight w:val="none"/>
                <w:u w:val="none"/>
                <w:lang w:val="en-US" w:eastAsia="zh-CN" w:bidi="ar"/>
              </w:rPr>
              <w:t>督促入院的车辆按指定位置停放，保持道路通畅。车辆乱停乱放每处扣0.5分。</w:t>
            </w:r>
          </w:p>
        </w:tc>
        <w:tc>
          <w:tcPr>
            <w:tcW w:w="320" w:type="pct"/>
            <w:tcBorders>
              <w:tl2br w:val="nil"/>
              <w:tr2bl w:val="nil"/>
            </w:tcBorders>
            <w:shd w:val="clear" w:color="auto" w:fill="FFFFFF" w:themeFill="background1"/>
            <w:vAlign w:val="center"/>
          </w:tcPr>
          <w:p w14:paraId="238C04F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5824CED7">
            <w:pPr>
              <w:jc w:val="left"/>
              <w:rPr>
                <w:rFonts w:hint="eastAsia" w:ascii="宋体" w:hAnsi="宋体" w:eastAsia="宋体" w:cs="宋体"/>
                <w:i w:val="0"/>
                <w:iCs w:val="0"/>
                <w:color w:val="auto"/>
                <w:sz w:val="22"/>
                <w:szCs w:val="22"/>
                <w:highlight w:val="none"/>
                <w:u w:val="none"/>
              </w:rPr>
            </w:pPr>
          </w:p>
        </w:tc>
      </w:tr>
      <w:tr w14:paraId="3803A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56" w:type="pct"/>
            <w:tcBorders>
              <w:tl2br w:val="nil"/>
              <w:tr2bl w:val="nil"/>
            </w:tcBorders>
            <w:shd w:val="clear" w:color="auto" w:fill="FFFFFF" w:themeFill="background1"/>
            <w:vAlign w:val="center"/>
          </w:tcPr>
          <w:p w14:paraId="3613CF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w:t>
            </w:r>
          </w:p>
        </w:tc>
        <w:tc>
          <w:tcPr>
            <w:tcW w:w="310" w:type="pct"/>
            <w:vMerge w:val="continue"/>
            <w:tcBorders>
              <w:tl2br w:val="nil"/>
              <w:tr2bl w:val="nil"/>
            </w:tcBorders>
            <w:shd w:val="clear" w:color="auto" w:fill="FFFFFF" w:themeFill="background1"/>
            <w:vAlign w:val="center"/>
          </w:tcPr>
          <w:p w14:paraId="3CDCCA8F">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6649F2C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规范值班巡查，发生火险要及时扑救，发生火灾要及时拨打119并通知院领导，同时做好疏散工作。巡查不规范每次扣0.1分，因巡查不到位发生火灾扣3分。</w:t>
            </w:r>
          </w:p>
        </w:tc>
        <w:tc>
          <w:tcPr>
            <w:tcW w:w="320" w:type="pct"/>
            <w:tcBorders>
              <w:tl2br w:val="nil"/>
              <w:tr2bl w:val="nil"/>
            </w:tcBorders>
            <w:shd w:val="clear" w:color="auto" w:fill="FFFFFF" w:themeFill="background1"/>
            <w:vAlign w:val="center"/>
          </w:tcPr>
          <w:p w14:paraId="002AFE0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278" w:type="pct"/>
            <w:tcBorders>
              <w:tl2br w:val="nil"/>
              <w:tr2bl w:val="nil"/>
            </w:tcBorders>
            <w:shd w:val="clear" w:color="auto" w:fill="FFFFFF" w:themeFill="background1"/>
            <w:vAlign w:val="center"/>
          </w:tcPr>
          <w:p w14:paraId="29D34367">
            <w:pPr>
              <w:jc w:val="left"/>
              <w:rPr>
                <w:rFonts w:hint="eastAsia" w:ascii="宋体" w:hAnsi="宋体" w:eastAsia="宋体" w:cs="宋体"/>
                <w:i w:val="0"/>
                <w:iCs w:val="0"/>
                <w:color w:val="auto"/>
                <w:sz w:val="22"/>
                <w:szCs w:val="22"/>
                <w:highlight w:val="none"/>
                <w:u w:val="none"/>
              </w:rPr>
            </w:pPr>
          </w:p>
        </w:tc>
      </w:tr>
      <w:tr w14:paraId="56FF1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56" w:type="pct"/>
            <w:tcBorders>
              <w:tl2br w:val="nil"/>
              <w:tr2bl w:val="nil"/>
            </w:tcBorders>
            <w:shd w:val="clear" w:color="auto" w:fill="FFFFFF" w:themeFill="background1"/>
            <w:vAlign w:val="center"/>
          </w:tcPr>
          <w:p w14:paraId="7623C81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41</w:t>
            </w:r>
          </w:p>
        </w:tc>
        <w:tc>
          <w:tcPr>
            <w:tcW w:w="310" w:type="pct"/>
            <w:vMerge w:val="continue"/>
            <w:tcBorders>
              <w:tl2br w:val="nil"/>
              <w:tr2bl w:val="nil"/>
            </w:tcBorders>
            <w:shd w:val="clear" w:color="auto" w:fill="FFFFFF" w:themeFill="background1"/>
            <w:vAlign w:val="center"/>
          </w:tcPr>
          <w:p w14:paraId="39EAB4B3">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4ACA86E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服从领导、听从指挥，坚守岗位，自觉遵守作息时间和交接班制度，着装规范，模范遵守院内的各项规章制度。不服从领导每次扣0.1分、不听从指挥每次扣0.1分，擅自离岗每次扣0.3分，着装不规范每次扣0.3分，不遵守院内的各项规章制度每次扣0.2分。</w:t>
            </w:r>
          </w:p>
        </w:tc>
        <w:tc>
          <w:tcPr>
            <w:tcW w:w="320" w:type="pct"/>
            <w:tcBorders>
              <w:tl2br w:val="nil"/>
              <w:tr2bl w:val="nil"/>
            </w:tcBorders>
            <w:shd w:val="clear" w:color="auto" w:fill="FFFFFF" w:themeFill="background1"/>
            <w:vAlign w:val="center"/>
          </w:tcPr>
          <w:p w14:paraId="5FD5E4A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6379E1BD">
            <w:pPr>
              <w:jc w:val="left"/>
              <w:rPr>
                <w:rFonts w:hint="eastAsia" w:ascii="宋体" w:hAnsi="宋体" w:eastAsia="宋体" w:cs="宋体"/>
                <w:i w:val="0"/>
                <w:iCs w:val="0"/>
                <w:color w:val="auto"/>
                <w:sz w:val="22"/>
                <w:szCs w:val="22"/>
                <w:highlight w:val="none"/>
                <w:u w:val="none"/>
              </w:rPr>
            </w:pPr>
          </w:p>
        </w:tc>
      </w:tr>
      <w:tr w14:paraId="7386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trPr>
        <w:tc>
          <w:tcPr>
            <w:tcW w:w="256" w:type="pct"/>
            <w:tcBorders>
              <w:tl2br w:val="nil"/>
              <w:tr2bl w:val="nil"/>
            </w:tcBorders>
            <w:shd w:val="clear" w:color="auto" w:fill="FFFFFF" w:themeFill="background1"/>
            <w:vAlign w:val="center"/>
          </w:tcPr>
          <w:p w14:paraId="140C54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w:t>
            </w:r>
          </w:p>
        </w:tc>
        <w:tc>
          <w:tcPr>
            <w:tcW w:w="310" w:type="pct"/>
            <w:vMerge w:val="restart"/>
            <w:tcBorders>
              <w:tl2br w:val="nil"/>
              <w:tr2bl w:val="nil"/>
            </w:tcBorders>
            <w:shd w:val="clear" w:color="auto" w:fill="FFFFFF" w:themeFill="background1"/>
            <w:vAlign w:val="center"/>
          </w:tcPr>
          <w:p w14:paraId="31DAF8FB">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财务管理</w:t>
            </w:r>
          </w:p>
        </w:tc>
        <w:tc>
          <w:tcPr>
            <w:tcW w:w="3833" w:type="pct"/>
            <w:tcBorders>
              <w:tl2br w:val="nil"/>
              <w:tr2bl w:val="nil"/>
            </w:tcBorders>
            <w:shd w:val="clear" w:color="auto" w:fill="FFFFFF" w:themeFill="background1"/>
            <w:vAlign w:val="center"/>
          </w:tcPr>
          <w:p w14:paraId="02DE070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建立捐赠资金或物品管理制度，并按捐赠方意愿和相关规定使用受赠资金或物品。未建立管理制度或者未按规定使用，每次扣0.5分。</w:t>
            </w:r>
          </w:p>
        </w:tc>
        <w:tc>
          <w:tcPr>
            <w:tcW w:w="320" w:type="pct"/>
            <w:tcBorders>
              <w:tl2br w:val="nil"/>
              <w:tr2bl w:val="nil"/>
            </w:tcBorders>
            <w:shd w:val="clear" w:color="auto" w:fill="FFFFFF" w:themeFill="background1"/>
            <w:vAlign w:val="center"/>
          </w:tcPr>
          <w:p w14:paraId="163A91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64A5AD42">
            <w:pPr>
              <w:jc w:val="left"/>
              <w:rPr>
                <w:rFonts w:hint="eastAsia" w:ascii="宋体" w:hAnsi="宋体" w:eastAsia="宋体" w:cs="宋体"/>
                <w:i w:val="0"/>
                <w:iCs w:val="0"/>
                <w:color w:val="auto"/>
                <w:sz w:val="22"/>
                <w:szCs w:val="22"/>
                <w:highlight w:val="none"/>
                <w:u w:val="none"/>
              </w:rPr>
            </w:pPr>
          </w:p>
        </w:tc>
      </w:tr>
      <w:tr w14:paraId="7A21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6" w:type="pct"/>
            <w:tcBorders>
              <w:tl2br w:val="nil"/>
              <w:tr2bl w:val="nil"/>
            </w:tcBorders>
            <w:shd w:val="clear" w:color="auto" w:fill="FFFFFF" w:themeFill="background1"/>
            <w:vAlign w:val="center"/>
          </w:tcPr>
          <w:p w14:paraId="6B811C1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w:t>
            </w:r>
          </w:p>
        </w:tc>
        <w:tc>
          <w:tcPr>
            <w:tcW w:w="310" w:type="pct"/>
            <w:vMerge w:val="continue"/>
            <w:tcBorders>
              <w:tl2br w:val="nil"/>
              <w:tr2bl w:val="nil"/>
            </w:tcBorders>
            <w:shd w:val="clear" w:color="auto" w:fill="FFFFFF" w:themeFill="background1"/>
            <w:vAlign w:val="center"/>
          </w:tcPr>
          <w:p w14:paraId="4D77A5BC">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7C80588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建立规范的财务制度，建立账目且账目清晰。缺少一项，每项扣0.5分。</w:t>
            </w:r>
          </w:p>
        </w:tc>
        <w:tc>
          <w:tcPr>
            <w:tcW w:w="320" w:type="pct"/>
            <w:tcBorders>
              <w:tl2br w:val="nil"/>
              <w:tr2bl w:val="nil"/>
            </w:tcBorders>
            <w:shd w:val="clear" w:color="auto" w:fill="FFFFFF" w:themeFill="background1"/>
            <w:vAlign w:val="center"/>
          </w:tcPr>
          <w:p w14:paraId="7022C2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67828684">
            <w:pPr>
              <w:jc w:val="left"/>
              <w:rPr>
                <w:rFonts w:hint="eastAsia" w:ascii="宋体" w:hAnsi="宋体" w:eastAsia="宋体" w:cs="宋体"/>
                <w:i w:val="0"/>
                <w:iCs w:val="0"/>
                <w:color w:val="auto"/>
                <w:sz w:val="22"/>
                <w:szCs w:val="22"/>
                <w:highlight w:val="none"/>
                <w:u w:val="none"/>
              </w:rPr>
            </w:pPr>
          </w:p>
        </w:tc>
      </w:tr>
      <w:tr w14:paraId="0D23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6" w:type="pct"/>
            <w:tcBorders>
              <w:tl2br w:val="nil"/>
              <w:tr2bl w:val="nil"/>
            </w:tcBorders>
            <w:shd w:val="clear" w:color="auto" w:fill="FFFFFF" w:themeFill="background1"/>
            <w:vAlign w:val="center"/>
          </w:tcPr>
          <w:p w14:paraId="045C874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44</w:t>
            </w:r>
          </w:p>
        </w:tc>
        <w:tc>
          <w:tcPr>
            <w:tcW w:w="310" w:type="pct"/>
            <w:vMerge w:val="restart"/>
            <w:tcBorders>
              <w:tl2br w:val="nil"/>
              <w:tr2bl w:val="nil"/>
            </w:tcBorders>
            <w:shd w:val="clear" w:color="auto" w:fill="FFFFFF" w:themeFill="background1"/>
            <w:vAlign w:val="center"/>
          </w:tcPr>
          <w:p w14:paraId="2A4F425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其他</w:t>
            </w:r>
          </w:p>
        </w:tc>
        <w:tc>
          <w:tcPr>
            <w:tcW w:w="3833" w:type="pct"/>
            <w:tcBorders>
              <w:tl2br w:val="nil"/>
              <w:tr2bl w:val="nil"/>
            </w:tcBorders>
            <w:shd w:val="clear" w:color="auto" w:fill="FFFFFF" w:themeFill="background1"/>
            <w:vAlign w:val="center"/>
          </w:tcPr>
          <w:p w14:paraId="5855CCA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每年组织老人开展文化活动、休闲娱乐等活动，有记录及照片存档，</w:t>
            </w:r>
            <w:r>
              <w:rPr>
                <w:rFonts w:hint="eastAsia" w:ascii="宋体" w:hAnsi="宋体" w:cs="宋体"/>
                <w:i w:val="0"/>
                <w:iCs w:val="0"/>
                <w:color w:val="auto"/>
                <w:kern w:val="0"/>
                <w:sz w:val="18"/>
                <w:szCs w:val="18"/>
                <w:highlight w:val="none"/>
                <w:u w:val="none"/>
                <w:lang w:val="en-US" w:eastAsia="zh-CN" w:bidi="ar"/>
              </w:rPr>
              <w:t>不符</w:t>
            </w:r>
            <w:r>
              <w:rPr>
                <w:rFonts w:hint="eastAsia" w:ascii="宋体" w:hAnsi="宋体" w:eastAsia="宋体" w:cs="宋体"/>
                <w:i w:val="0"/>
                <w:iCs w:val="0"/>
                <w:color w:val="auto"/>
                <w:kern w:val="0"/>
                <w:sz w:val="18"/>
                <w:szCs w:val="18"/>
                <w:highlight w:val="none"/>
                <w:u w:val="none"/>
                <w:lang w:val="en-US" w:eastAsia="zh-CN" w:bidi="ar"/>
              </w:rPr>
              <w:t>合要求扣1分。</w:t>
            </w:r>
          </w:p>
        </w:tc>
        <w:tc>
          <w:tcPr>
            <w:tcW w:w="320" w:type="pct"/>
            <w:tcBorders>
              <w:tl2br w:val="nil"/>
              <w:tr2bl w:val="nil"/>
            </w:tcBorders>
            <w:shd w:val="clear" w:color="auto" w:fill="FFFFFF" w:themeFill="background1"/>
            <w:vAlign w:val="center"/>
          </w:tcPr>
          <w:p w14:paraId="0B9AC16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09AECE16">
            <w:pPr>
              <w:jc w:val="left"/>
              <w:rPr>
                <w:rFonts w:hint="eastAsia" w:ascii="宋体" w:hAnsi="宋体" w:eastAsia="宋体" w:cs="宋体"/>
                <w:i w:val="0"/>
                <w:iCs w:val="0"/>
                <w:color w:val="auto"/>
                <w:sz w:val="22"/>
                <w:szCs w:val="22"/>
                <w:highlight w:val="none"/>
                <w:u w:val="none"/>
              </w:rPr>
            </w:pPr>
          </w:p>
        </w:tc>
      </w:tr>
      <w:tr w14:paraId="67C4B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256" w:type="pct"/>
            <w:tcBorders>
              <w:tl2br w:val="nil"/>
              <w:tr2bl w:val="nil"/>
            </w:tcBorders>
            <w:shd w:val="clear" w:color="auto" w:fill="FFFFFF" w:themeFill="background1"/>
            <w:vAlign w:val="center"/>
          </w:tcPr>
          <w:p w14:paraId="1881467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w:t>
            </w:r>
          </w:p>
        </w:tc>
        <w:tc>
          <w:tcPr>
            <w:tcW w:w="310" w:type="pct"/>
            <w:vMerge w:val="continue"/>
            <w:tcBorders>
              <w:tl2br w:val="nil"/>
              <w:tr2bl w:val="nil"/>
            </w:tcBorders>
            <w:shd w:val="clear" w:color="auto" w:fill="FFFFFF" w:themeFill="background1"/>
            <w:vAlign w:val="center"/>
          </w:tcPr>
          <w:p w14:paraId="5B21DEAE">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76906B3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每年开展不少于2次满意度测评，</w:t>
            </w:r>
            <w:r>
              <w:rPr>
                <w:rFonts w:hint="eastAsia" w:ascii="宋体" w:hAnsi="宋体" w:cs="宋体"/>
                <w:i w:val="0"/>
                <w:iCs w:val="0"/>
                <w:color w:val="auto"/>
                <w:kern w:val="0"/>
                <w:sz w:val="18"/>
                <w:szCs w:val="18"/>
                <w:highlight w:val="none"/>
                <w:u w:val="none"/>
                <w:lang w:val="en-US" w:eastAsia="zh-CN" w:bidi="ar"/>
              </w:rPr>
              <w:t>并对</w:t>
            </w:r>
            <w:r>
              <w:rPr>
                <w:rFonts w:hint="eastAsia" w:ascii="宋体" w:hAnsi="宋体" w:eastAsia="宋体" w:cs="宋体"/>
                <w:i w:val="0"/>
                <w:iCs w:val="0"/>
                <w:color w:val="auto"/>
                <w:kern w:val="0"/>
                <w:sz w:val="18"/>
                <w:szCs w:val="18"/>
                <w:highlight w:val="none"/>
                <w:u w:val="none"/>
                <w:lang w:val="en-US" w:eastAsia="zh-CN" w:bidi="ar"/>
              </w:rPr>
              <w:t>满意度调查进行分析总结，并形成调查报告。报告内容至少应包括调查范围、调查过程、调查结论及改进建议。测评人数不少于入住人数的30%，满意度≥90%不扣分，＜90%且≥50%扣1分，＜50%，扣2分。</w:t>
            </w:r>
          </w:p>
        </w:tc>
        <w:tc>
          <w:tcPr>
            <w:tcW w:w="320" w:type="pct"/>
            <w:tcBorders>
              <w:tl2br w:val="nil"/>
              <w:tr2bl w:val="nil"/>
            </w:tcBorders>
            <w:shd w:val="clear" w:color="auto" w:fill="FFFFFF" w:themeFill="background1"/>
            <w:vAlign w:val="center"/>
          </w:tcPr>
          <w:p w14:paraId="063DC4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430C8DF9">
            <w:pPr>
              <w:jc w:val="left"/>
              <w:rPr>
                <w:rFonts w:hint="eastAsia" w:ascii="宋体" w:hAnsi="宋体" w:eastAsia="宋体" w:cs="宋体"/>
                <w:i w:val="0"/>
                <w:iCs w:val="0"/>
                <w:color w:val="auto"/>
                <w:sz w:val="22"/>
                <w:szCs w:val="22"/>
                <w:highlight w:val="none"/>
                <w:u w:val="none"/>
              </w:rPr>
            </w:pPr>
          </w:p>
        </w:tc>
      </w:tr>
      <w:tr w14:paraId="74978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560" w:hRule="atLeast"/>
        </w:trPr>
        <w:tc>
          <w:tcPr>
            <w:tcW w:w="256" w:type="pct"/>
            <w:tcBorders>
              <w:tl2br w:val="nil"/>
              <w:tr2bl w:val="nil"/>
            </w:tcBorders>
            <w:shd w:val="clear" w:color="auto" w:fill="FFFFFF" w:themeFill="background1"/>
            <w:vAlign w:val="center"/>
          </w:tcPr>
          <w:p w14:paraId="421B71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46</w:t>
            </w:r>
          </w:p>
        </w:tc>
        <w:tc>
          <w:tcPr>
            <w:tcW w:w="310" w:type="pct"/>
            <w:vMerge w:val="continue"/>
            <w:tcBorders>
              <w:tl2br w:val="nil"/>
              <w:tr2bl w:val="nil"/>
            </w:tcBorders>
            <w:shd w:val="clear" w:color="auto" w:fill="FFFFFF" w:themeFill="background1"/>
            <w:vAlign w:val="center"/>
          </w:tcPr>
          <w:p w14:paraId="18EF7827">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4116C872">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建立服务质量考核制度；每月至少开展1次服务质量考核，并做好考核记录并对考核情况进行1次汇总分析，形成改进措施。未建立制度或每月未开展服务质量考核，每次扣0.5分。</w:t>
            </w:r>
          </w:p>
        </w:tc>
        <w:tc>
          <w:tcPr>
            <w:tcW w:w="320" w:type="pct"/>
            <w:tcBorders>
              <w:tl2br w:val="nil"/>
              <w:tr2bl w:val="nil"/>
            </w:tcBorders>
            <w:shd w:val="clear" w:color="auto" w:fill="FFFFFF" w:themeFill="background1"/>
            <w:vAlign w:val="center"/>
          </w:tcPr>
          <w:p w14:paraId="50C4829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5B0E3B74">
            <w:pPr>
              <w:jc w:val="left"/>
              <w:rPr>
                <w:rFonts w:hint="eastAsia" w:ascii="宋体" w:hAnsi="宋体" w:eastAsia="宋体" w:cs="宋体"/>
                <w:i w:val="0"/>
                <w:iCs w:val="0"/>
                <w:color w:val="auto"/>
                <w:sz w:val="22"/>
                <w:szCs w:val="22"/>
                <w:highlight w:val="none"/>
                <w:u w:val="none"/>
              </w:rPr>
            </w:pPr>
          </w:p>
        </w:tc>
      </w:tr>
      <w:tr w14:paraId="75D70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380" w:hRule="atLeast"/>
        </w:trPr>
        <w:tc>
          <w:tcPr>
            <w:tcW w:w="256" w:type="pct"/>
            <w:tcBorders>
              <w:tl2br w:val="nil"/>
              <w:tr2bl w:val="nil"/>
            </w:tcBorders>
            <w:shd w:val="clear" w:color="auto" w:fill="FFFFFF" w:themeFill="background1"/>
            <w:vAlign w:val="center"/>
          </w:tcPr>
          <w:p w14:paraId="77CAA99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47</w:t>
            </w:r>
          </w:p>
        </w:tc>
        <w:tc>
          <w:tcPr>
            <w:tcW w:w="310" w:type="pct"/>
            <w:vMerge w:val="continue"/>
            <w:tcBorders>
              <w:tl2br w:val="nil"/>
              <w:tr2bl w:val="nil"/>
            </w:tcBorders>
            <w:shd w:val="clear" w:color="auto" w:fill="FFFFFF" w:themeFill="background1"/>
            <w:vAlign w:val="center"/>
          </w:tcPr>
          <w:p w14:paraId="0E1BD977">
            <w:pPr>
              <w:jc w:val="center"/>
              <w:rPr>
                <w:rFonts w:hint="eastAsia" w:ascii="宋体" w:hAnsi="宋体" w:eastAsia="宋体" w:cs="宋体"/>
                <w:b/>
                <w:bCs/>
                <w:i w:val="0"/>
                <w:iCs w:val="0"/>
                <w:color w:val="auto"/>
                <w:sz w:val="22"/>
                <w:szCs w:val="22"/>
                <w:highlight w:val="none"/>
                <w:u w:val="none"/>
              </w:rPr>
            </w:pPr>
          </w:p>
        </w:tc>
        <w:tc>
          <w:tcPr>
            <w:tcW w:w="3833" w:type="pct"/>
            <w:tcBorders>
              <w:tl2br w:val="nil"/>
              <w:tr2bl w:val="nil"/>
            </w:tcBorders>
            <w:shd w:val="clear" w:color="auto" w:fill="FFFFFF" w:themeFill="background1"/>
            <w:vAlign w:val="center"/>
          </w:tcPr>
          <w:p w14:paraId="1C2DDE4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老人或家属投诉，性质恶劣，影响不好，经证实属实，每次扣1分。</w:t>
            </w:r>
          </w:p>
        </w:tc>
        <w:tc>
          <w:tcPr>
            <w:tcW w:w="320" w:type="pct"/>
            <w:tcBorders>
              <w:tl2br w:val="nil"/>
              <w:tr2bl w:val="nil"/>
            </w:tcBorders>
            <w:shd w:val="clear" w:color="auto" w:fill="FFFFFF" w:themeFill="background1"/>
            <w:vAlign w:val="center"/>
          </w:tcPr>
          <w:p w14:paraId="37DA48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278" w:type="pct"/>
            <w:tcBorders>
              <w:tl2br w:val="nil"/>
              <w:tr2bl w:val="nil"/>
            </w:tcBorders>
            <w:shd w:val="clear" w:color="auto" w:fill="FFFFFF" w:themeFill="background1"/>
            <w:vAlign w:val="center"/>
          </w:tcPr>
          <w:p w14:paraId="2954F523">
            <w:pPr>
              <w:jc w:val="left"/>
              <w:rPr>
                <w:rFonts w:hint="eastAsia" w:ascii="宋体" w:hAnsi="宋体" w:eastAsia="宋体" w:cs="宋体"/>
                <w:i w:val="0"/>
                <w:iCs w:val="0"/>
                <w:color w:val="auto"/>
                <w:sz w:val="22"/>
                <w:szCs w:val="22"/>
                <w:highlight w:val="none"/>
                <w:u w:val="none"/>
              </w:rPr>
            </w:pPr>
          </w:p>
        </w:tc>
      </w:tr>
      <w:tr w14:paraId="427A0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PrEx>
        <w:trPr>
          <w:trHeight w:val="340" w:hRule="atLeast"/>
        </w:trPr>
        <w:tc>
          <w:tcPr>
            <w:tcW w:w="256" w:type="pct"/>
            <w:tcBorders>
              <w:tl2br w:val="nil"/>
              <w:tr2bl w:val="nil"/>
            </w:tcBorders>
            <w:shd w:val="clear" w:color="auto" w:fill="FFFFFF" w:themeFill="background1"/>
            <w:vAlign w:val="center"/>
          </w:tcPr>
          <w:p w14:paraId="1816C2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c>
          <w:tcPr>
            <w:tcW w:w="4144" w:type="pct"/>
            <w:gridSpan w:val="2"/>
            <w:tcBorders>
              <w:tl2br w:val="nil"/>
              <w:tr2bl w:val="nil"/>
            </w:tcBorders>
            <w:shd w:val="clear" w:color="auto" w:fill="FFFFFF" w:themeFill="background1"/>
            <w:vAlign w:val="center"/>
          </w:tcPr>
          <w:p w14:paraId="3967D60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总    分</w:t>
            </w:r>
          </w:p>
        </w:tc>
        <w:tc>
          <w:tcPr>
            <w:tcW w:w="320" w:type="pct"/>
            <w:tcBorders>
              <w:tl2br w:val="nil"/>
              <w:tr2bl w:val="nil"/>
            </w:tcBorders>
            <w:shd w:val="clear" w:color="auto" w:fill="FFFFFF" w:themeFill="background1"/>
            <w:vAlign w:val="center"/>
          </w:tcPr>
          <w:p w14:paraId="425A60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100</w:t>
            </w:r>
          </w:p>
        </w:tc>
        <w:tc>
          <w:tcPr>
            <w:tcW w:w="278" w:type="pct"/>
            <w:tcBorders>
              <w:tl2br w:val="nil"/>
              <w:tr2bl w:val="nil"/>
            </w:tcBorders>
            <w:shd w:val="clear" w:color="auto" w:fill="FFFFFF" w:themeFill="background1"/>
            <w:vAlign w:val="center"/>
          </w:tcPr>
          <w:p w14:paraId="581A6F2A">
            <w:pPr>
              <w:jc w:val="left"/>
              <w:rPr>
                <w:rFonts w:hint="eastAsia" w:ascii="宋体" w:hAnsi="宋体" w:eastAsia="宋体" w:cs="宋体"/>
                <w:i w:val="0"/>
                <w:iCs w:val="0"/>
                <w:color w:val="auto"/>
                <w:sz w:val="20"/>
                <w:szCs w:val="20"/>
                <w:highlight w:val="none"/>
                <w:u w:val="none"/>
              </w:rPr>
            </w:pPr>
          </w:p>
        </w:tc>
      </w:tr>
      <w:tr w14:paraId="7B1E5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1240" w:hRule="atLeast"/>
        </w:trPr>
        <w:tc>
          <w:tcPr>
            <w:tcW w:w="5000" w:type="pct"/>
            <w:gridSpan w:val="5"/>
            <w:tcBorders>
              <w:tl2br w:val="nil"/>
              <w:tr2bl w:val="nil"/>
            </w:tcBorders>
            <w:shd w:val="clear" w:color="auto" w:fill="FFFFFF" w:themeFill="background1"/>
            <w:vAlign w:val="center"/>
          </w:tcPr>
          <w:p w14:paraId="67EF502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备注：采购人对中标人的运营管理情况每季度考核一次（采购人有权根据上级政策和县情实际调整考核内容，但与县内</w:t>
            </w:r>
            <w:r>
              <w:rPr>
                <w:rFonts w:hint="eastAsia" w:ascii="宋体" w:hAnsi="宋体" w:cs="宋体"/>
                <w:i w:val="0"/>
                <w:iCs w:val="0"/>
                <w:color w:val="auto"/>
                <w:kern w:val="0"/>
                <w:sz w:val="20"/>
                <w:szCs w:val="20"/>
                <w:highlight w:val="none"/>
                <w:u w:val="none"/>
                <w:lang w:val="en-US" w:eastAsia="zh-CN" w:bidi="ar"/>
              </w:rPr>
              <w:t>其他</w:t>
            </w:r>
            <w:r>
              <w:rPr>
                <w:rFonts w:hint="eastAsia" w:ascii="宋体" w:hAnsi="宋体" w:eastAsia="宋体" w:cs="宋体"/>
                <w:i w:val="0"/>
                <w:iCs w:val="0"/>
                <w:color w:val="auto"/>
                <w:kern w:val="0"/>
                <w:sz w:val="20"/>
                <w:szCs w:val="20"/>
                <w:highlight w:val="none"/>
                <w:u w:val="none"/>
                <w:lang w:val="en-US" w:eastAsia="zh-CN" w:bidi="ar"/>
              </w:rPr>
              <w:t>养老院一致），中标人考核分低于85分时，采购人对中标人扣减相应季度除供养经费之外的运行经费，扣减运行经费计算方法如下：季度除供养经费之外的运行经费*（85-考核分）%；当考核分低于70分时，除扣减经费外，要求中标人在一个月内将相关问题整改到位，如两个月内仍未整改到位，采购人有权解除合同。</w:t>
            </w:r>
          </w:p>
        </w:tc>
      </w:tr>
    </w:tbl>
    <w:p w14:paraId="167CAAAE">
      <w:pPr>
        <w:rPr>
          <w:rFonts w:ascii="黑体" w:eastAsia="黑体"/>
          <w:bCs/>
          <w:color w:val="auto"/>
          <w:sz w:val="44"/>
          <w:highlight w:val="none"/>
        </w:rPr>
      </w:pPr>
    </w:p>
    <w:p w14:paraId="1C5D59E5">
      <w:pPr>
        <w:pStyle w:val="2"/>
        <w:rPr>
          <w:rFonts w:hint="eastAsia" w:ascii="黑体" w:eastAsia="黑体"/>
          <w:bCs/>
          <w:color w:val="auto"/>
          <w:sz w:val="44"/>
          <w:highlight w:val="none"/>
        </w:rPr>
      </w:pPr>
    </w:p>
    <w:p w14:paraId="33B6BB0E">
      <w:pPr>
        <w:rPr>
          <w:rFonts w:hint="eastAsia" w:ascii="黑体" w:eastAsia="黑体"/>
          <w:bCs/>
          <w:color w:val="auto"/>
          <w:sz w:val="44"/>
          <w:highlight w:val="none"/>
        </w:rPr>
      </w:pPr>
    </w:p>
    <w:p w14:paraId="2F5BDDB8">
      <w:pPr>
        <w:pStyle w:val="42"/>
        <w:rPr>
          <w:rFonts w:hint="eastAsia" w:ascii="黑体" w:eastAsia="黑体"/>
          <w:bCs/>
          <w:color w:val="auto"/>
          <w:sz w:val="44"/>
          <w:highlight w:val="none"/>
        </w:rPr>
      </w:pPr>
    </w:p>
    <w:p w14:paraId="42BACE25">
      <w:pPr>
        <w:pStyle w:val="42"/>
        <w:rPr>
          <w:rFonts w:hint="eastAsia" w:ascii="黑体" w:eastAsia="黑体"/>
          <w:bCs/>
          <w:color w:val="auto"/>
          <w:sz w:val="44"/>
          <w:highlight w:val="none"/>
        </w:rPr>
      </w:pPr>
    </w:p>
    <w:p w14:paraId="717F6D1B">
      <w:pPr>
        <w:pStyle w:val="42"/>
        <w:rPr>
          <w:rFonts w:hint="eastAsia" w:ascii="黑体" w:eastAsia="黑体"/>
          <w:bCs/>
          <w:color w:val="auto"/>
          <w:sz w:val="44"/>
          <w:highlight w:val="none"/>
        </w:rPr>
      </w:pPr>
    </w:p>
    <w:p w14:paraId="51462862">
      <w:pPr>
        <w:pStyle w:val="42"/>
        <w:rPr>
          <w:rFonts w:hint="eastAsia" w:ascii="黑体" w:eastAsia="黑体"/>
          <w:bCs/>
          <w:color w:val="auto"/>
          <w:sz w:val="44"/>
          <w:highlight w:val="none"/>
        </w:rPr>
      </w:pPr>
    </w:p>
    <w:p w14:paraId="08C2A385">
      <w:pPr>
        <w:pStyle w:val="42"/>
        <w:rPr>
          <w:rFonts w:hint="eastAsia" w:ascii="黑体" w:eastAsia="黑体"/>
          <w:bCs/>
          <w:color w:val="auto"/>
          <w:sz w:val="44"/>
          <w:highlight w:val="none"/>
        </w:rPr>
      </w:pPr>
    </w:p>
    <w:p w14:paraId="0F367CD1">
      <w:pPr>
        <w:pStyle w:val="42"/>
        <w:rPr>
          <w:rFonts w:hint="eastAsia" w:ascii="黑体" w:eastAsia="黑体"/>
          <w:bCs/>
          <w:color w:val="auto"/>
          <w:sz w:val="44"/>
          <w:highlight w:val="none"/>
        </w:rPr>
      </w:pPr>
    </w:p>
    <w:p w14:paraId="7336C34E">
      <w:pPr>
        <w:rPr>
          <w:rFonts w:hint="eastAsia" w:ascii="黑体" w:eastAsia="黑体"/>
          <w:bCs/>
          <w:color w:val="auto"/>
          <w:sz w:val="44"/>
          <w:highlight w:val="none"/>
        </w:rPr>
      </w:pPr>
      <w:r>
        <w:rPr>
          <w:rFonts w:hint="eastAsia" w:ascii="黑体" w:eastAsia="黑体"/>
          <w:bCs/>
          <w:color w:val="auto"/>
          <w:sz w:val="44"/>
          <w:highlight w:val="none"/>
        </w:rPr>
        <w:br w:type="page"/>
      </w:r>
    </w:p>
    <w:p w14:paraId="78C73B77">
      <w:pPr>
        <w:pStyle w:val="2"/>
        <w:rPr>
          <w:rFonts w:ascii="黑体" w:eastAsia="黑体"/>
          <w:bCs/>
          <w:color w:val="auto"/>
          <w:sz w:val="44"/>
          <w:highlight w:val="none"/>
        </w:rPr>
      </w:pPr>
      <w:r>
        <w:rPr>
          <w:rFonts w:hint="eastAsia" w:ascii="黑体" w:eastAsia="黑体"/>
          <w:bCs/>
          <w:color w:val="auto"/>
          <w:sz w:val="44"/>
          <w:highlight w:val="none"/>
        </w:rPr>
        <w:t xml:space="preserve">第五章  </w:t>
      </w:r>
      <w:r>
        <w:rPr>
          <w:rFonts w:hint="eastAsia" w:ascii="黑体" w:eastAsia="黑体"/>
          <w:b/>
          <w:bCs/>
          <w:color w:val="auto"/>
          <w:sz w:val="44"/>
          <w:highlight w:val="none"/>
        </w:rPr>
        <w:t>评标方法与评标标准</w:t>
      </w:r>
    </w:p>
    <w:p w14:paraId="016903D6">
      <w:pPr>
        <w:keepNext w:val="0"/>
        <w:keepLines w:val="0"/>
        <w:pageBreakBefore w:val="0"/>
        <w:widowControl w:val="0"/>
        <w:kinsoku/>
        <w:wordWrap/>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bCs/>
          <w:color w:val="auto"/>
          <w:sz w:val="24"/>
          <w:szCs w:val="24"/>
          <w:highlight w:val="none"/>
        </w:rPr>
      </w:pPr>
      <w:bookmarkStart w:id="162" w:name="_Toc120614281"/>
      <w:r>
        <w:rPr>
          <w:rFonts w:hint="eastAsia" w:ascii="宋体" w:hAnsi="宋体" w:eastAsia="宋体" w:cs="宋体"/>
          <w:b/>
          <w:bCs/>
          <w:color w:val="auto"/>
          <w:sz w:val="24"/>
          <w:szCs w:val="24"/>
          <w:highlight w:val="none"/>
        </w:rPr>
        <w:t>一、定标原则</w:t>
      </w:r>
    </w:p>
    <w:p w14:paraId="2FF3DCFE">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综合评分</w:t>
      </w:r>
      <w:r>
        <w:rPr>
          <w:rFonts w:hint="eastAsia" w:ascii="宋体" w:hAnsi="宋体" w:eastAsia="宋体" w:cs="宋体"/>
          <w:bCs/>
          <w:color w:val="auto"/>
          <w:sz w:val="24"/>
          <w:szCs w:val="24"/>
          <w:highlight w:val="none"/>
        </w:rPr>
        <w:t>法。</w:t>
      </w:r>
      <w:r>
        <w:rPr>
          <w:rFonts w:hint="eastAsia" w:ascii="宋体" w:hAnsi="宋体" w:eastAsia="宋体" w:cs="宋体"/>
          <w:color w:val="auto"/>
          <w:sz w:val="24"/>
          <w:szCs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Fonts w:hint="eastAsia" w:ascii="宋体" w:hAnsi="宋体" w:eastAsia="宋体" w:cs="宋体"/>
          <w:color w:val="auto"/>
          <w:sz w:val="24"/>
          <w:szCs w:val="24"/>
          <w:highlight w:val="none"/>
          <w:u w:val="single"/>
        </w:rPr>
        <w:t>1名</w:t>
      </w:r>
      <w:r>
        <w:rPr>
          <w:rFonts w:hint="eastAsia" w:ascii="宋体" w:hAnsi="宋体" w:eastAsia="宋体" w:cs="宋体"/>
          <w:color w:val="auto"/>
          <w:sz w:val="24"/>
          <w:szCs w:val="24"/>
          <w:highlight w:val="none"/>
        </w:rPr>
        <w:t>中标候选人。</w:t>
      </w:r>
    </w:p>
    <w:p w14:paraId="67B8964A">
      <w:pPr>
        <w:pStyle w:val="39"/>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0" w:lef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政府采购政策功能落实</w:t>
      </w:r>
    </w:p>
    <w:p w14:paraId="523AECBB">
      <w:pPr>
        <w:pStyle w:val="39"/>
        <w:keepNext w:val="0"/>
        <w:keepLines w:val="0"/>
        <w:pageBreakBefore w:val="0"/>
        <w:widowControl w:val="0"/>
        <w:kinsoku/>
        <w:wordWrap/>
        <w:overflowPunct/>
        <w:topLinePunct w:val="0"/>
        <w:autoSpaceDE/>
        <w:autoSpaceDN/>
        <w:bidi w:val="0"/>
        <w:adjustRightInd/>
        <w:snapToGrid/>
        <w:spacing w:before="0" w:beforeAutospacing="0" w:after="0" w:afterAutospacing="0" w:line="420" w:lineRule="exact"/>
        <w:ind w:left="0" w:leftChars="0" w:firstLine="480" w:firstLineChars="200"/>
        <w:textAlignment w:val="auto"/>
        <w:rPr>
          <w:rFonts w:hint="eastAsia" w:ascii="宋体" w:hAnsi="宋体" w:eastAsia="宋体" w:cs="宋体"/>
          <w:color w:val="auto"/>
          <w:sz w:val="24"/>
          <w:szCs w:val="24"/>
          <w:highlight w:val="none"/>
        </w:rPr>
      </w:pPr>
      <w:bookmarkStart w:id="163" w:name="OLE_LINK9"/>
      <w:r>
        <w:rPr>
          <w:rFonts w:hint="eastAsia" w:ascii="宋体" w:hAnsi="宋体" w:eastAsia="宋体" w:cs="宋体"/>
          <w:color w:val="auto"/>
          <w:sz w:val="24"/>
          <w:szCs w:val="24"/>
          <w:highlight w:val="none"/>
        </w:rPr>
        <w:t>1.小微型企业价格扣除</w:t>
      </w:r>
    </w:p>
    <w:p w14:paraId="2638D9C8">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（1）本项目不专门面向中小企业采购，对符合规定的小型和微型企业报价给予20%的扣除价格，用扣除后的价格参与评审。</w:t>
      </w:r>
    </w:p>
    <w:p w14:paraId="11BEE72A">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（2）供应商需按照采购文件的要求提供相应的《企业声明函》。</w:t>
      </w:r>
    </w:p>
    <w:p w14:paraId="35940B4A">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365CD694">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w:t>
      </w:r>
    </w:p>
    <w:p w14:paraId="38A38854">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w:t>
      </w:r>
    </w:p>
    <w:p w14:paraId="18DBC5E2">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（2）残疾人福利单位标准请参照《关于促进残疾人就业政府采购政策的通知》（财库〔2017〕141号），需提供《残疾人福利性单位声明函》。</w:t>
      </w:r>
    </w:p>
    <w:p w14:paraId="6CA0946B">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w:t>
      </w:r>
    </w:p>
    <w:p w14:paraId="0C840CF8">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w:t>
      </w:r>
    </w:p>
    <w:p w14:paraId="06B4C356">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w:t>
      </w:r>
    </w:p>
    <w:p w14:paraId="4C972ABA">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5F5F833A">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4FBCB244">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w:t>
      </w:r>
    </w:p>
    <w:p w14:paraId="40012E1B">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6.联合体各方均为小型、微型企业（残疾人福利单位、监狱企业）的，联合体享受20%的价格扣除。</w:t>
      </w:r>
    </w:p>
    <w:p w14:paraId="334C1D1F">
      <w:pPr>
        <w:spacing w:line="400" w:lineRule="exact"/>
        <w:ind w:firstLine="48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7、采购本国产品的支持政策</w:t>
      </w:r>
    </w:p>
    <w:p w14:paraId="2E59C72A">
      <w:pPr>
        <w:spacing w:line="400" w:lineRule="exact"/>
        <w:ind w:firstLine="48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auto"/>
          <w:kern w:val="0"/>
          <w:sz w:val="24"/>
          <w:szCs w:val="24"/>
          <w:highlight w:val="none"/>
          <w:u w:val="single"/>
        </w:rPr>
        <w:t>20%</w:t>
      </w:r>
      <w:r>
        <w:rPr>
          <w:rFonts w:hint="eastAsia" w:ascii="宋体" w:hAnsi="宋体" w:eastAsia="宋体" w:cs="宋体"/>
          <w:b/>
          <w:bCs/>
          <w:color w:val="auto"/>
          <w:kern w:val="0"/>
          <w:sz w:val="24"/>
          <w:szCs w:val="24"/>
          <w:highlight w:val="none"/>
        </w:rPr>
        <w:t>的价格扣除，用扣除后的价格参与评审。</w:t>
      </w:r>
    </w:p>
    <w:p w14:paraId="24A5724C">
      <w:pPr>
        <w:spacing w:line="400" w:lineRule="exact"/>
        <w:ind w:firstLine="48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kern w:val="0"/>
          <w:sz w:val="24"/>
          <w:szCs w:val="24"/>
          <w:highlight w:val="none"/>
          <w:u w:val="single"/>
        </w:rPr>
        <w:t>80%</w:t>
      </w:r>
      <w:r>
        <w:rPr>
          <w:rFonts w:hint="eastAsia" w:ascii="宋体" w:hAnsi="宋体" w:eastAsia="宋体" w:cs="宋体"/>
          <w:b/>
          <w:bCs/>
          <w:color w:val="auto"/>
          <w:kern w:val="0"/>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auto"/>
          <w:kern w:val="0"/>
          <w:sz w:val="24"/>
          <w:szCs w:val="24"/>
          <w:highlight w:val="none"/>
          <w:u w:val="single"/>
        </w:rPr>
        <w:t>20%</w:t>
      </w:r>
      <w:r>
        <w:rPr>
          <w:rFonts w:hint="eastAsia" w:ascii="宋体" w:hAnsi="宋体" w:eastAsia="宋体" w:cs="宋体"/>
          <w:b/>
          <w:bCs/>
          <w:color w:val="auto"/>
          <w:kern w:val="0"/>
          <w:sz w:val="24"/>
          <w:szCs w:val="24"/>
          <w:highlight w:val="none"/>
        </w:rPr>
        <w:t>的价格扣除，用扣除后的价格参与评审。供应商未填写比例数值，或比例数值未达到80%的，将不享受本国产品价格评审优惠。</w:t>
      </w:r>
    </w:p>
    <w:p w14:paraId="25DBF10A">
      <w:pPr>
        <w:spacing w:line="400" w:lineRule="exact"/>
        <w:ind w:firstLine="48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7.3 供应商需按照招标文件的要求提供《关于符合本国产品标准的声明函》（以下简称《声明函》），如不提供将不享受本国产品价格评审优惠。</w:t>
      </w:r>
    </w:p>
    <w:p w14:paraId="55F9B57C">
      <w:pPr>
        <w:spacing w:line="400" w:lineRule="exact"/>
        <w:ind w:firstLine="482"/>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7.4 供应商需在《声明函》中逐一、准确填写产品名称、厂名、生产厂址三项信息（《声明函》中用</w:t>
      </w:r>
      <w:r>
        <w:rPr>
          <w:rFonts w:hint="eastAsia" w:ascii="宋体" w:hAnsi="宋体" w:eastAsia="宋体" w:cs="宋体"/>
          <w:b/>
          <w:bCs/>
          <w:color w:val="auto"/>
          <w:kern w:val="0"/>
          <w:sz w:val="24"/>
          <w:szCs w:val="24"/>
          <w:highlight w:val="none"/>
          <w:lang w:val="en-US" w:eastAsia="zh-CN"/>
        </w:rPr>
        <w:t>横</w:t>
      </w:r>
      <w:r>
        <w:rPr>
          <w:rFonts w:hint="eastAsia" w:ascii="宋体" w:hAnsi="宋体" w:eastAsia="宋体" w:cs="宋体"/>
          <w:b/>
          <w:bCs/>
          <w:color w:val="auto"/>
          <w:kern w:val="0"/>
          <w:sz w:val="24"/>
          <w:szCs w:val="24"/>
          <w:highlight w:val="none"/>
        </w:rPr>
        <w:t>线划除的地方无需填写），三项信息中任意一项未填写的视为该项产品不符合本国产品标准，不享受本国产品价格评审优惠。</w:t>
      </w:r>
    </w:p>
    <w:p w14:paraId="65E8464E">
      <w:pPr>
        <w:spacing w:line="400" w:lineRule="exact"/>
        <w:ind w:firstLine="482"/>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szCs w:val="24"/>
          <w:highlight w:val="none"/>
        </w:rPr>
        <w:t>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kern w:val="0"/>
          <w:sz w:val="24"/>
          <w:szCs w:val="24"/>
          <w:highlight w:val="none"/>
          <w:lang w:val="en-US" w:eastAsia="zh-CN"/>
        </w:rPr>
        <w:t>在苏采云系统</w:t>
      </w:r>
      <w:r>
        <w:rPr>
          <w:rFonts w:hint="eastAsia" w:ascii="宋体" w:hAnsi="宋体" w:eastAsia="宋体" w:cs="宋体"/>
          <w:b/>
          <w:bCs/>
          <w:color w:val="auto"/>
          <w:kern w:val="0"/>
          <w:sz w:val="24"/>
          <w:szCs w:val="24"/>
          <w:highlight w:val="none"/>
        </w:rPr>
        <w:t>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kern w:val="0"/>
          <w:sz w:val="24"/>
          <w:szCs w:val="24"/>
          <w:highlight w:val="none"/>
        </w:rPr>
        <w:t>和招标文件规定的，供应商提供的相关产品视为不符合本国产品标准。</w:t>
      </w:r>
    </w:p>
    <w:p w14:paraId="4E4776C4">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color w:val="auto"/>
          <w:sz w:val="24"/>
          <w:szCs w:val="24"/>
          <w:highlight w:val="none"/>
        </w:rPr>
        <w:t>如属政府强制采购产品未提供认证证书的或认证证书提供不全的将视为未实质性响应采购要求</w:t>
      </w:r>
      <w:r>
        <w:rPr>
          <w:rFonts w:hint="eastAsia" w:ascii="宋体" w:hAnsi="宋体" w:eastAsia="宋体" w:cs="宋体"/>
          <w:color w:val="auto"/>
          <w:sz w:val="24"/>
          <w:szCs w:val="24"/>
          <w:highlight w:val="none"/>
        </w:rPr>
        <w:t>。其他条件相同情况下，应当优先采购节能产品、环境标志产品。</w:t>
      </w:r>
      <w:bookmarkEnd w:id="163"/>
    </w:p>
    <w:p w14:paraId="6E627621">
      <w:pPr>
        <w:keepNext w:val="0"/>
        <w:keepLines w:val="0"/>
        <w:pageBreakBefore w:val="0"/>
        <w:widowControl w:val="0"/>
        <w:kinsoku/>
        <w:wordWrap/>
        <w:overflowPunct/>
        <w:topLinePunct w:val="0"/>
        <w:autoSpaceDE/>
        <w:autoSpaceDN/>
        <w:bidi w:val="0"/>
        <w:adjustRightInd/>
        <w:snapToGrid w:val="0"/>
        <w:spacing w:line="420" w:lineRule="exact"/>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二、评标标准</w:t>
      </w:r>
    </w:p>
    <w:tbl>
      <w:tblPr>
        <w:tblStyle w:val="44"/>
        <w:tblW w:w="8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6"/>
        <w:gridCol w:w="1575"/>
        <w:gridCol w:w="6515"/>
      </w:tblGrid>
      <w:tr w14:paraId="352D5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56" w:type="dxa"/>
            <w:vAlign w:val="center"/>
          </w:tcPr>
          <w:p w14:paraId="71554252">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color w:val="auto"/>
                <w:spacing w:val="0"/>
                <w:kern w:val="2"/>
                <w:sz w:val="24"/>
                <w:szCs w:val="24"/>
                <w:highlight w:val="none"/>
                <w:u w:val="none"/>
              </w:rPr>
            </w:pPr>
            <w:bookmarkStart w:id="164" w:name="_Hlk142577915"/>
            <w:r>
              <w:rPr>
                <w:rFonts w:hint="eastAsia" w:ascii="宋体" w:hAnsi="宋体" w:eastAsia="宋体" w:cs="宋体"/>
                <w:b/>
                <w:color w:val="auto"/>
                <w:spacing w:val="0"/>
                <w:kern w:val="2"/>
                <w:sz w:val="24"/>
                <w:szCs w:val="24"/>
                <w:highlight w:val="none"/>
                <w:u w:val="none"/>
              </w:rPr>
              <w:t>序号</w:t>
            </w:r>
          </w:p>
        </w:tc>
        <w:tc>
          <w:tcPr>
            <w:tcW w:w="1575" w:type="dxa"/>
            <w:vAlign w:val="center"/>
          </w:tcPr>
          <w:p w14:paraId="18B96657">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0"/>
                <w:sz w:val="24"/>
                <w:szCs w:val="24"/>
                <w:highlight w:val="none"/>
                <w:u w:val="none"/>
              </w:rPr>
              <w:t>评分项目及满分值</w:t>
            </w:r>
          </w:p>
        </w:tc>
        <w:tc>
          <w:tcPr>
            <w:tcW w:w="6515" w:type="dxa"/>
            <w:vAlign w:val="center"/>
          </w:tcPr>
          <w:p w14:paraId="1E0A7317">
            <w:pPr>
              <w:keepNext w:val="0"/>
              <w:keepLines w:val="0"/>
              <w:pageBreakBefore w:val="0"/>
              <w:widowControl w:val="0"/>
              <w:kinsoku/>
              <w:wordWrap/>
              <w:overflowPunct/>
              <w:topLinePunct w:val="0"/>
              <w:autoSpaceDE/>
              <w:autoSpaceDN/>
              <w:bidi w:val="0"/>
              <w:adjustRightInd/>
              <w:spacing w:line="420" w:lineRule="exact"/>
              <w:jc w:val="center"/>
              <w:textAlignment w:val="auto"/>
              <w:rPr>
                <w:rFonts w:hint="eastAsia" w:ascii="宋体" w:hAnsi="宋体" w:eastAsia="宋体" w:cs="宋体"/>
                <w:b/>
                <w:bCs/>
                <w:color w:val="auto"/>
                <w:spacing w:val="0"/>
                <w:kern w:val="2"/>
                <w:sz w:val="24"/>
                <w:szCs w:val="24"/>
                <w:highlight w:val="none"/>
                <w:u w:val="none"/>
              </w:rPr>
            </w:pPr>
            <w:r>
              <w:rPr>
                <w:rFonts w:hint="eastAsia" w:ascii="宋体" w:hAnsi="宋体" w:eastAsia="宋体" w:cs="宋体"/>
                <w:b/>
                <w:color w:val="auto"/>
                <w:spacing w:val="0"/>
                <w:kern w:val="0"/>
                <w:sz w:val="24"/>
                <w:szCs w:val="24"/>
                <w:highlight w:val="none"/>
                <w:u w:val="none"/>
              </w:rPr>
              <w:t>评分标准</w:t>
            </w:r>
          </w:p>
        </w:tc>
      </w:tr>
      <w:tr w14:paraId="13F75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9" w:hRule="atLeast"/>
          <w:jc w:val="center"/>
        </w:trPr>
        <w:tc>
          <w:tcPr>
            <w:tcW w:w="756" w:type="dxa"/>
            <w:vAlign w:val="center"/>
          </w:tcPr>
          <w:p w14:paraId="5545DFD9">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1</w:t>
            </w:r>
          </w:p>
        </w:tc>
        <w:tc>
          <w:tcPr>
            <w:tcW w:w="1575" w:type="dxa"/>
            <w:vAlign w:val="center"/>
          </w:tcPr>
          <w:p w14:paraId="20237009">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投标</w:t>
            </w:r>
          </w:p>
          <w:p w14:paraId="07883A7F">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报价</w:t>
            </w:r>
          </w:p>
          <w:p w14:paraId="2C63EB4F">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（10分）</w:t>
            </w:r>
          </w:p>
        </w:tc>
        <w:tc>
          <w:tcPr>
            <w:tcW w:w="6515" w:type="dxa"/>
            <w:vAlign w:val="center"/>
          </w:tcPr>
          <w:p w14:paraId="5791C5E5">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bCs/>
                <w:color w:val="auto"/>
                <w:spacing w:val="0"/>
                <w:kern w:val="2"/>
                <w:sz w:val="24"/>
                <w:szCs w:val="24"/>
                <w:highlight w:val="none"/>
                <w:u w:val="none"/>
              </w:rPr>
            </w:pPr>
            <w:r>
              <w:rPr>
                <w:rFonts w:hint="eastAsia" w:ascii="宋体" w:hAnsi="宋体" w:eastAsia="宋体" w:cs="宋体"/>
                <w:b/>
                <w:bCs/>
                <w:color w:val="auto"/>
                <w:spacing w:val="0"/>
                <w:kern w:val="2"/>
                <w:sz w:val="24"/>
                <w:szCs w:val="24"/>
                <w:highlight w:val="none"/>
                <w:u w:val="none"/>
              </w:rPr>
              <w:t>满足招标文件要求且投标报价最低的报价为评标基准价，其价格分为满分。其他投标人的价格分按照公式：投标报价得分=（评标基准价/投标报价）×10，四舍五入保留小数点后两位。</w:t>
            </w:r>
          </w:p>
          <w:p w14:paraId="011C9831">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bCs/>
                <w:color w:val="auto"/>
                <w:spacing w:val="0"/>
                <w:kern w:val="2"/>
                <w:sz w:val="24"/>
                <w:szCs w:val="24"/>
                <w:highlight w:val="none"/>
                <w:u w:val="none"/>
              </w:rPr>
            </w:pPr>
            <w:r>
              <w:rPr>
                <w:rFonts w:hint="eastAsia" w:ascii="宋体" w:hAnsi="宋体" w:eastAsia="宋体" w:cs="宋体"/>
                <w:b/>
                <w:bCs/>
                <w:color w:val="auto"/>
                <w:spacing w:val="0"/>
                <w:kern w:val="2"/>
                <w:sz w:val="24"/>
                <w:szCs w:val="24"/>
                <w:highlight w:val="none"/>
                <w:u w:val="none"/>
              </w:rPr>
              <w:t>注：评标委员会认为投标供应商的报价明显过低，有可能影响服务质量或者不能诚信履约的，将要求其在评标现场合理的时间内提供书面说明，必要时提交相关证明材料；投标供应商不能证明其报价合理性的，评标委员会将其作为无效投标处理。</w:t>
            </w:r>
          </w:p>
          <w:p w14:paraId="0B9A9163">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bCs/>
                <w:color w:val="auto"/>
                <w:spacing w:val="0"/>
                <w:kern w:val="2"/>
                <w:sz w:val="24"/>
                <w:szCs w:val="24"/>
                <w:highlight w:val="none"/>
                <w:u w:val="none"/>
                <w:lang w:eastAsia="zh-CN"/>
              </w:rPr>
            </w:pPr>
            <w:r>
              <w:rPr>
                <w:rFonts w:hint="eastAsia" w:ascii="宋体" w:hAnsi="宋体" w:eastAsia="宋体" w:cs="宋体"/>
                <w:b/>
                <w:bCs/>
                <w:color w:val="auto"/>
                <w:spacing w:val="0"/>
                <w:kern w:val="2"/>
                <w:sz w:val="24"/>
                <w:szCs w:val="24"/>
                <w:highlight w:val="none"/>
                <w:u w:val="none"/>
                <w:lang w:val="en-US" w:eastAsia="zh-CN"/>
              </w:rPr>
              <w:t>本项目实行</w:t>
            </w:r>
            <w:r>
              <w:rPr>
                <w:rFonts w:hint="eastAsia" w:ascii="宋体" w:hAnsi="宋体" w:eastAsia="宋体" w:cs="宋体"/>
                <w:b/>
                <w:bCs/>
                <w:color w:val="auto"/>
                <w:spacing w:val="0"/>
                <w:kern w:val="2"/>
                <w:sz w:val="24"/>
                <w:szCs w:val="24"/>
                <w:highlight w:val="none"/>
                <w:u w:val="none"/>
              </w:rPr>
              <w:t>小微型企业价格扣除</w:t>
            </w:r>
            <w:r>
              <w:rPr>
                <w:rFonts w:hint="eastAsia" w:ascii="宋体" w:hAnsi="宋体" w:eastAsia="宋体" w:cs="宋体"/>
                <w:b/>
                <w:bCs/>
                <w:color w:val="auto"/>
                <w:spacing w:val="0"/>
                <w:kern w:val="2"/>
                <w:sz w:val="24"/>
                <w:szCs w:val="24"/>
                <w:highlight w:val="none"/>
                <w:u w:val="none"/>
                <w:lang w:eastAsia="zh-CN"/>
              </w:rPr>
              <w:t>，对符合规定的小型和微型企业报价给予20%的扣除价格，用扣除后的价格参与评审。</w:t>
            </w:r>
          </w:p>
        </w:tc>
      </w:tr>
      <w:tr w14:paraId="15ACB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756" w:type="dxa"/>
            <w:vMerge w:val="restart"/>
            <w:vAlign w:val="center"/>
          </w:tcPr>
          <w:p w14:paraId="6DACE2D0">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2</w:t>
            </w:r>
          </w:p>
        </w:tc>
        <w:tc>
          <w:tcPr>
            <w:tcW w:w="1575" w:type="dxa"/>
            <w:vAlign w:val="center"/>
          </w:tcPr>
          <w:p w14:paraId="5A87BBE4">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eastAsia="zh-CN"/>
              </w:rPr>
            </w:pPr>
            <w:r>
              <w:rPr>
                <w:rFonts w:hint="eastAsia" w:ascii="宋体" w:hAnsi="宋体" w:eastAsia="宋体" w:cs="宋体"/>
                <w:b/>
                <w:color w:val="auto"/>
                <w:spacing w:val="0"/>
                <w:kern w:val="2"/>
                <w:sz w:val="24"/>
                <w:szCs w:val="24"/>
                <w:highlight w:val="none"/>
                <w:u w:val="none"/>
                <w:lang w:val="en-US" w:eastAsia="zh-CN"/>
              </w:rPr>
              <w:t>商务分（类似</w:t>
            </w:r>
            <w:r>
              <w:rPr>
                <w:rFonts w:hint="eastAsia" w:ascii="宋体" w:hAnsi="宋体" w:eastAsia="宋体" w:cs="宋体"/>
                <w:b/>
                <w:color w:val="auto"/>
                <w:spacing w:val="0"/>
                <w:kern w:val="2"/>
                <w:sz w:val="24"/>
                <w:szCs w:val="24"/>
                <w:highlight w:val="none"/>
                <w:u w:val="none"/>
              </w:rPr>
              <w:t>业绩</w:t>
            </w:r>
            <w:r>
              <w:rPr>
                <w:rFonts w:hint="eastAsia" w:ascii="宋体" w:hAnsi="宋体" w:eastAsia="宋体" w:cs="宋体"/>
                <w:b/>
                <w:color w:val="auto"/>
                <w:spacing w:val="0"/>
                <w:kern w:val="2"/>
                <w:sz w:val="24"/>
                <w:szCs w:val="24"/>
                <w:highlight w:val="none"/>
                <w:u w:val="none"/>
                <w:lang w:eastAsia="zh-CN"/>
              </w:rPr>
              <w:t>）</w:t>
            </w:r>
          </w:p>
          <w:p w14:paraId="42E1787E">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15</w:t>
            </w:r>
            <w:r>
              <w:rPr>
                <w:rFonts w:hint="eastAsia" w:ascii="宋体" w:hAnsi="宋体" w:eastAsia="宋体" w:cs="宋体"/>
                <w:b/>
                <w:color w:val="auto"/>
                <w:spacing w:val="0"/>
                <w:kern w:val="2"/>
                <w:sz w:val="24"/>
                <w:szCs w:val="24"/>
                <w:highlight w:val="none"/>
                <w:u w:val="none"/>
              </w:rPr>
              <w:t>分）</w:t>
            </w:r>
          </w:p>
        </w:tc>
        <w:tc>
          <w:tcPr>
            <w:tcW w:w="6515" w:type="dxa"/>
            <w:vAlign w:val="center"/>
          </w:tcPr>
          <w:p w14:paraId="7387AF50">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1、投标人自20</w:t>
            </w:r>
            <w:r>
              <w:rPr>
                <w:rFonts w:hint="eastAsia" w:ascii="宋体" w:hAnsi="宋体" w:eastAsia="宋体" w:cs="宋体"/>
                <w:b/>
                <w:color w:val="auto"/>
                <w:spacing w:val="0"/>
                <w:kern w:val="2"/>
                <w:sz w:val="24"/>
                <w:szCs w:val="24"/>
                <w:highlight w:val="none"/>
                <w:u w:val="none"/>
                <w:lang w:val="en-US" w:eastAsia="zh-CN"/>
              </w:rPr>
              <w:t>22</w:t>
            </w:r>
            <w:r>
              <w:rPr>
                <w:rFonts w:hint="eastAsia" w:ascii="宋体" w:hAnsi="宋体" w:eastAsia="宋体" w:cs="宋体"/>
                <w:b/>
                <w:color w:val="auto"/>
                <w:spacing w:val="0"/>
                <w:kern w:val="2"/>
                <w:sz w:val="24"/>
                <w:szCs w:val="24"/>
                <w:highlight w:val="none"/>
                <w:u w:val="none"/>
              </w:rPr>
              <w:t>年1月1日以来</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以合同签订时间为准</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，每运营过1家三级养老机构的得</w:t>
            </w:r>
            <w:r>
              <w:rPr>
                <w:rFonts w:hint="eastAsia" w:ascii="宋体" w:hAnsi="宋体" w:eastAsia="宋体" w:cs="宋体"/>
                <w:b/>
                <w:color w:val="auto"/>
                <w:spacing w:val="0"/>
                <w:kern w:val="2"/>
                <w:sz w:val="24"/>
                <w:szCs w:val="24"/>
                <w:highlight w:val="none"/>
                <w:u w:val="none"/>
                <w:lang w:val="en-US" w:eastAsia="zh-CN"/>
              </w:rPr>
              <w:t>2</w:t>
            </w:r>
            <w:r>
              <w:rPr>
                <w:rFonts w:hint="eastAsia" w:ascii="宋体" w:hAnsi="宋体" w:eastAsia="宋体" w:cs="宋体"/>
                <w:b/>
                <w:color w:val="auto"/>
                <w:spacing w:val="0"/>
                <w:kern w:val="2"/>
                <w:sz w:val="24"/>
                <w:szCs w:val="24"/>
                <w:highlight w:val="none"/>
                <w:u w:val="none"/>
              </w:rPr>
              <w:t>分，最高得</w:t>
            </w:r>
            <w:r>
              <w:rPr>
                <w:rFonts w:hint="eastAsia" w:ascii="宋体" w:hAnsi="宋体" w:eastAsia="宋体" w:cs="宋体"/>
                <w:b/>
                <w:color w:val="auto"/>
                <w:spacing w:val="0"/>
                <w:kern w:val="2"/>
                <w:sz w:val="24"/>
                <w:szCs w:val="24"/>
                <w:highlight w:val="none"/>
                <w:u w:val="none"/>
                <w:lang w:val="en-US" w:eastAsia="zh-CN"/>
              </w:rPr>
              <w:t>6</w:t>
            </w:r>
            <w:r>
              <w:rPr>
                <w:rFonts w:hint="eastAsia" w:ascii="宋体" w:hAnsi="宋体" w:eastAsia="宋体" w:cs="宋体"/>
                <w:b/>
                <w:color w:val="auto"/>
                <w:spacing w:val="0"/>
                <w:kern w:val="2"/>
                <w:sz w:val="24"/>
                <w:szCs w:val="24"/>
                <w:highlight w:val="none"/>
                <w:u w:val="none"/>
              </w:rPr>
              <w:t>分。（</w:t>
            </w:r>
            <w:r>
              <w:rPr>
                <w:rFonts w:hint="eastAsia" w:ascii="宋体" w:hAnsi="宋体" w:eastAsia="宋体" w:cs="宋体"/>
                <w:b/>
                <w:color w:val="auto"/>
                <w:spacing w:val="0"/>
                <w:kern w:val="2"/>
                <w:sz w:val="24"/>
                <w:szCs w:val="24"/>
                <w:highlight w:val="none"/>
                <w:u w:val="none"/>
                <w:lang w:val="en-US" w:eastAsia="zh-CN"/>
              </w:rPr>
              <w:t>注：</w:t>
            </w:r>
            <w:r>
              <w:rPr>
                <w:rFonts w:hint="eastAsia" w:ascii="宋体" w:hAnsi="宋体" w:eastAsia="宋体" w:cs="宋体"/>
                <w:b/>
                <w:color w:val="auto"/>
                <w:spacing w:val="0"/>
                <w:kern w:val="2"/>
                <w:sz w:val="24"/>
                <w:szCs w:val="24"/>
                <w:highlight w:val="none"/>
                <w:u w:val="none"/>
              </w:rPr>
              <w:t>投标人运营自有养老机构的，提供登记证书和养老机构备案材料扫描件；投标人承包运营养老机构的，投标时提供</w:t>
            </w:r>
            <w:r>
              <w:rPr>
                <w:rFonts w:hint="eastAsia" w:ascii="宋体" w:hAnsi="宋体" w:eastAsia="宋体" w:cs="宋体"/>
                <w:b/>
                <w:color w:val="auto"/>
                <w:spacing w:val="0"/>
                <w:kern w:val="2"/>
                <w:sz w:val="24"/>
                <w:szCs w:val="24"/>
                <w:highlight w:val="none"/>
                <w:u w:val="none"/>
                <w:lang w:val="en-US" w:eastAsia="zh-CN"/>
              </w:rPr>
              <w:t>服务合同</w:t>
            </w:r>
            <w:r>
              <w:rPr>
                <w:rFonts w:hint="eastAsia" w:ascii="宋体" w:hAnsi="宋体" w:eastAsia="宋体" w:cs="宋体"/>
                <w:b/>
                <w:color w:val="auto"/>
                <w:spacing w:val="0"/>
                <w:kern w:val="2"/>
                <w:sz w:val="24"/>
                <w:szCs w:val="24"/>
                <w:highlight w:val="none"/>
                <w:u w:val="none"/>
              </w:rPr>
              <w:t>扫描件、养老机构登记证书和备案材料扫描件、承包期内任一年度承包人和发包人经费转账凭证扫描件一份。如未提供材料或提供的材料不符合要求的不得分）</w:t>
            </w:r>
          </w:p>
          <w:p w14:paraId="2A67692D">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2、投标人自20</w:t>
            </w:r>
            <w:r>
              <w:rPr>
                <w:rFonts w:hint="eastAsia" w:ascii="宋体" w:hAnsi="宋体" w:eastAsia="宋体" w:cs="宋体"/>
                <w:b/>
                <w:color w:val="auto"/>
                <w:spacing w:val="0"/>
                <w:kern w:val="2"/>
                <w:sz w:val="24"/>
                <w:szCs w:val="24"/>
                <w:highlight w:val="none"/>
                <w:u w:val="none"/>
                <w:lang w:val="en-US" w:eastAsia="zh-CN"/>
              </w:rPr>
              <w:t>22</w:t>
            </w:r>
            <w:r>
              <w:rPr>
                <w:rFonts w:hint="eastAsia" w:ascii="宋体" w:hAnsi="宋体" w:eastAsia="宋体" w:cs="宋体"/>
                <w:b/>
                <w:color w:val="auto"/>
                <w:spacing w:val="0"/>
                <w:kern w:val="2"/>
                <w:sz w:val="24"/>
                <w:szCs w:val="24"/>
                <w:highlight w:val="none"/>
                <w:u w:val="none"/>
              </w:rPr>
              <w:t>年1月1日以来</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以合同签订时间为准</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，投标人承接运营医养结合养老机构（护理院、康复中心）项目，且截至投标之日前至少有一家处于正常运营状态，每承接运营过一个项目得</w:t>
            </w:r>
            <w:r>
              <w:rPr>
                <w:rFonts w:hint="eastAsia" w:ascii="宋体" w:hAnsi="宋体" w:eastAsia="宋体" w:cs="宋体"/>
                <w:b/>
                <w:color w:val="auto"/>
                <w:spacing w:val="0"/>
                <w:kern w:val="2"/>
                <w:sz w:val="24"/>
                <w:szCs w:val="24"/>
                <w:highlight w:val="none"/>
                <w:u w:val="none"/>
                <w:lang w:val="en-US" w:eastAsia="zh-CN"/>
              </w:rPr>
              <w:t>3</w:t>
            </w:r>
            <w:r>
              <w:rPr>
                <w:rFonts w:hint="eastAsia" w:ascii="宋体" w:hAnsi="宋体" w:eastAsia="宋体" w:cs="宋体"/>
                <w:b/>
                <w:color w:val="auto"/>
                <w:spacing w:val="0"/>
                <w:kern w:val="2"/>
                <w:sz w:val="24"/>
                <w:szCs w:val="24"/>
                <w:highlight w:val="none"/>
                <w:u w:val="none"/>
              </w:rPr>
              <w:t>分，最高得</w:t>
            </w:r>
            <w:r>
              <w:rPr>
                <w:rFonts w:hint="eastAsia" w:ascii="宋体" w:hAnsi="宋体" w:eastAsia="宋体" w:cs="宋体"/>
                <w:b/>
                <w:color w:val="auto"/>
                <w:spacing w:val="0"/>
                <w:kern w:val="2"/>
                <w:sz w:val="24"/>
                <w:szCs w:val="24"/>
                <w:highlight w:val="none"/>
                <w:u w:val="none"/>
                <w:lang w:val="en-US" w:eastAsia="zh-CN"/>
              </w:rPr>
              <w:t>6</w:t>
            </w:r>
            <w:r>
              <w:rPr>
                <w:rFonts w:hint="eastAsia" w:ascii="宋体" w:hAnsi="宋体" w:eastAsia="宋体" w:cs="宋体"/>
                <w:b/>
                <w:color w:val="auto"/>
                <w:spacing w:val="0"/>
                <w:kern w:val="2"/>
                <w:sz w:val="24"/>
                <w:szCs w:val="24"/>
                <w:highlight w:val="none"/>
                <w:u w:val="none"/>
              </w:rPr>
              <w:t>分。（</w:t>
            </w:r>
            <w:r>
              <w:rPr>
                <w:rFonts w:hint="eastAsia" w:ascii="宋体" w:hAnsi="宋体" w:eastAsia="宋体" w:cs="宋体"/>
                <w:b/>
                <w:color w:val="auto"/>
                <w:spacing w:val="0"/>
                <w:kern w:val="2"/>
                <w:sz w:val="24"/>
                <w:szCs w:val="24"/>
                <w:highlight w:val="none"/>
                <w:u w:val="none"/>
                <w:lang w:val="en-US" w:eastAsia="zh-CN"/>
              </w:rPr>
              <w:t>注:</w:t>
            </w:r>
            <w:r>
              <w:rPr>
                <w:rFonts w:hint="eastAsia" w:ascii="宋体" w:hAnsi="宋体" w:eastAsia="宋体" w:cs="宋体"/>
                <w:b/>
                <w:color w:val="auto"/>
                <w:spacing w:val="0"/>
                <w:kern w:val="2"/>
                <w:sz w:val="24"/>
                <w:szCs w:val="24"/>
                <w:highlight w:val="none"/>
                <w:u w:val="none"/>
              </w:rPr>
              <w:t>投标人投标时提供医养结合养老机构营业执照或登记证书</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医疗执业许可证</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服务合同以及证明机构</w:t>
            </w:r>
            <w:r>
              <w:rPr>
                <w:rFonts w:hint="eastAsia" w:ascii="宋体" w:hAnsi="宋体" w:eastAsia="宋体" w:cs="宋体"/>
                <w:b/>
                <w:color w:val="auto"/>
                <w:spacing w:val="0"/>
                <w:kern w:val="2"/>
                <w:sz w:val="24"/>
                <w:szCs w:val="24"/>
                <w:highlight w:val="none"/>
                <w:u w:val="none"/>
              </w:rPr>
              <w:t>正常运营状态</w:t>
            </w:r>
            <w:r>
              <w:rPr>
                <w:rFonts w:hint="eastAsia" w:ascii="宋体" w:hAnsi="宋体" w:eastAsia="宋体" w:cs="宋体"/>
                <w:b/>
                <w:color w:val="auto"/>
                <w:spacing w:val="0"/>
                <w:kern w:val="2"/>
                <w:sz w:val="24"/>
                <w:szCs w:val="24"/>
                <w:highlight w:val="none"/>
                <w:u w:val="none"/>
                <w:lang w:val="en-US" w:eastAsia="zh-CN"/>
              </w:rPr>
              <w:t>的材料，未</w:t>
            </w:r>
            <w:r>
              <w:rPr>
                <w:rFonts w:hint="eastAsia" w:ascii="宋体" w:hAnsi="宋体" w:eastAsia="宋体" w:cs="宋体"/>
                <w:b/>
                <w:color w:val="auto"/>
                <w:spacing w:val="0"/>
                <w:kern w:val="2"/>
                <w:sz w:val="24"/>
                <w:szCs w:val="24"/>
                <w:highlight w:val="none"/>
                <w:u w:val="none"/>
              </w:rPr>
              <w:t>提供或提供的证明材料不符合本项要求不得分）</w:t>
            </w:r>
          </w:p>
          <w:p w14:paraId="287BDCC3">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3、投标人正在运营的养老机构属于三级养老机构</w:t>
            </w:r>
            <w:r>
              <w:rPr>
                <w:rFonts w:hint="eastAsia" w:ascii="宋体" w:hAnsi="宋体" w:eastAsia="宋体" w:cs="宋体"/>
                <w:b/>
                <w:color w:val="auto"/>
                <w:spacing w:val="0"/>
                <w:kern w:val="2"/>
                <w:sz w:val="24"/>
                <w:szCs w:val="24"/>
                <w:highlight w:val="none"/>
                <w:u w:val="none"/>
                <w:lang w:val="en-US" w:eastAsia="zh-CN"/>
              </w:rPr>
              <w:t>的</w:t>
            </w:r>
            <w:r>
              <w:rPr>
                <w:rFonts w:hint="eastAsia" w:ascii="宋体" w:hAnsi="宋体" w:eastAsia="宋体" w:cs="宋体"/>
                <w:b/>
                <w:color w:val="auto"/>
                <w:spacing w:val="0"/>
                <w:kern w:val="2"/>
                <w:sz w:val="24"/>
                <w:szCs w:val="24"/>
                <w:highlight w:val="none"/>
                <w:u w:val="none"/>
              </w:rPr>
              <w:t>，得</w:t>
            </w:r>
            <w:r>
              <w:rPr>
                <w:rFonts w:hint="eastAsia" w:ascii="宋体" w:hAnsi="宋体" w:eastAsia="宋体" w:cs="宋体"/>
                <w:b/>
                <w:color w:val="auto"/>
                <w:spacing w:val="0"/>
                <w:kern w:val="2"/>
                <w:sz w:val="24"/>
                <w:szCs w:val="24"/>
                <w:highlight w:val="none"/>
                <w:u w:val="none"/>
                <w:lang w:val="en-US" w:eastAsia="zh-CN"/>
              </w:rPr>
              <w:t>3</w:t>
            </w:r>
            <w:r>
              <w:rPr>
                <w:rFonts w:hint="eastAsia" w:ascii="宋体" w:hAnsi="宋体" w:eastAsia="宋体" w:cs="宋体"/>
                <w:b/>
                <w:color w:val="auto"/>
                <w:spacing w:val="0"/>
                <w:kern w:val="2"/>
                <w:sz w:val="24"/>
                <w:szCs w:val="24"/>
                <w:highlight w:val="none"/>
                <w:u w:val="none"/>
              </w:rPr>
              <w:t>分</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最高得</w:t>
            </w:r>
            <w:r>
              <w:rPr>
                <w:rFonts w:hint="eastAsia" w:ascii="宋体" w:hAnsi="宋体" w:eastAsia="宋体" w:cs="宋体"/>
                <w:b/>
                <w:color w:val="auto"/>
                <w:spacing w:val="0"/>
                <w:kern w:val="2"/>
                <w:sz w:val="24"/>
                <w:szCs w:val="24"/>
                <w:highlight w:val="none"/>
                <w:u w:val="none"/>
                <w:lang w:val="en-US" w:eastAsia="zh-CN"/>
              </w:rPr>
              <w:t>3</w:t>
            </w:r>
            <w:r>
              <w:rPr>
                <w:rFonts w:hint="eastAsia" w:ascii="宋体" w:hAnsi="宋体" w:eastAsia="宋体" w:cs="宋体"/>
                <w:b/>
                <w:color w:val="auto"/>
                <w:spacing w:val="0"/>
                <w:kern w:val="2"/>
                <w:sz w:val="24"/>
                <w:szCs w:val="24"/>
                <w:highlight w:val="none"/>
                <w:u w:val="none"/>
              </w:rPr>
              <w:t>分。</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注：</w:t>
            </w:r>
            <w:r>
              <w:rPr>
                <w:rFonts w:hint="default" w:ascii="Calibri" w:hAnsi="Calibri" w:eastAsia="宋体" w:cs="Calibri"/>
                <w:b/>
                <w:color w:val="auto"/>
                <w:spacing w:val="0"/>
                <w:kern w:val="2"/>
                <w:sz w:val="24"/>
                <w:szCs w:val="24"/>
                <w:highlight w:val="none"/>
                <w:u w:val="none"/>
                <w:lang w:val="en-US" w:eastAsia="zh-CN"/>
              </w:rPr>
              <w:t>①</w:t>
            </w:r>
            <w:r>
              <w:rPr>
                <w:rFonts w:hint="eastAsia" w:ascii="宋体" w:hAnsi="宋体" w:eastAsia="宋体" w:cs="宋体"/>
                <w:b/>
                <w:color w:val="auto"/>
                <w:spacing w:val="0"/>
                <w:kern w:val="2"/>
                <w:sz w:val="24"/>
                <w:szCs w:val="24"/>
                <w:highlight w:val="none"/>
                <w:u w:val="none"/>
              </w:rPr>
              <w:t>投标人运营</w:t>
            </w:r>
            <w:r>
              <w:rPr>
                <w:rFonts w:hint="eastAsia" w:ascii="宋体" w:hAnsi="宋体" w:eastAsia="宋体" w:cs="宋体"/>
                <w:b/>
                <w:color w:val="auto"/>
                <w:spacing w:val="0"/>
                <w:kern w:val="2"/>
                <w:sz w:val="24"/>
                <w:szCs w:val="24"/>
                <w:highlight w:val="none"/>
                <w:u w:val="none"/>
                <w:lang w:val="en-US" w:eastAsia="zh-CN"/>
              </w:rPr>
              <w:t>过的</w:t>
            </w:r>
            <w:r>
              <w:rPr>
                <w:rFonts w:hint="eastAsia" w:ascii="宋体" w:hAnsi="宋体" w:eastAsia="宋体" w:cs="宋体"/>
                <w:b/>
                <w:color w:val="auto"/>
                <w:spacing w:val="0"/>
                <w:kern w:val="2"/>
                <w:sz w:val="24"/>
                <w:szCs w:val="24"/>
                <w:highlight w:val="none"/>
                <w:u w:val="none"/>
                <w:lang w:eastAsia="zh-CN"/>
              </w:rPr>
              <w:t>其他</w:t>
            </w:r>
            <w:r>
              <w:rPr>
                <w:rFonts w:hint="eastAsia" w:ascii="宋体" w:hAnsi="宋体" w:eastAsia="宋体" w:cs="宋体"/>
                <w:b/>
                <w:color w:val="auto"/>
                <w:spacing w:val="0"/>
                <w:kern w:val="2"/>
                <w:sz w:val="24"/>
                <w:szCs w:val="24"/>
                <w:highlight w:val="none"/>
                <w:u w:val="none"/>
              </w:rPr>
              <w:t>养老机构</w:t>
            </w:r>
            <w:r>
              <w:rPr>
                <w:rFonts w:hint="eastAsia" w:ascii="宋体" w:hAnsi="宋体" w:eastAsia="宋体" w:cs="宋体"/>
                <w:b/>
                <w:color w:val="auto"/>
                <w:spacing w:val="0"/>
                <w:kern w:val="2"/>
                <w:sz w:val="24"/>
                <w:szCs w:val="24"/>
                <w:highlight w:val="none"/>
                <w:u w:val="none"/>
                <w:lang w:val="en-US" w:eastAsia="zh-CN"/>
              </w:rPr>
              <w:t>在运营</w:t>
            </w:r>
            <w:r>
              <w:rPr>
                <w:rFonts w:hint="eastAsia" w:ascii="宋体" w:hAnsi="宋体" w:eastAsia="宋体" w:cs="宋体"/>
                <w:b/>
                <w:color w:val="auto"/>
                <w:spacing w:val="0"/>
                <w:kern w:val="2"/>
                <w:sz w:val="24"/>
                <w:szCs w:val="24"/>
                <w:highlight w:val="none"/>
                <w:u w:val="none"/>
              </w:rPr>
              <w:t>期间曾申请成功三级机构的</w:t>
            </w:r>
            <w:r>
              <w:rPr>
                <w:rFonts w:hint="eastAsia" w:ascii="宋体" w:hAnsi="宋体" w:eastAsia="宋体" w:cs="宋体"/>
                <w:b/>
                <w:color w:val="auto"/>
                <w:spacing w:val="0"/>
                <w:kern w:val="2"/>
                <w:sz w:val="24"/>
                <w:szCs w:val="24"/>
                <w:highlight w:val="none"/>
                <w:u w:val="none"/>
                <w:lang w:val="en-US" w:eastAsia="zh-CN"/>
              </w:rPr>
              <w:t>予以认可</w:t>
            </w:r>
            <w:r>
              <w:rPr>
                <w:rFonts w:hint="eastAsia" w:ascii="宋体" w:hAnsi="宋体" w:eastAsia="宋体" w:cs="宋体"/>
                <w:b/>
                <w:color w:val="auto"/>
                <w:spacing w:val="0"/>
                <w:kern w:val="2"/>
                <w:sz w:val="24"/>
                <w:szCs w:val="24"/>
                <w:highlight w:val="none"/>
                <w:u w:val="none"/>
                <w:lang w:eastAsia="zh-CN"/>
              </w:rPr>
              <w:t>；</w:t>
            </w:r>
            <w:r>
              <w:rPr>
                <w:rFonts w:hint="default" w:ascii="Calibri" w:hAnsi="Calibri" w:eastAsia="宋体" w:cs="Calibri"/>
                <w:b/>
                <w:color w:val="auto"/>
                <w:spacing w:val="0"/>
                <w:kern w:val="2"/>
                <w:sz w:val="24"/>
                <w:szCs w:val="24"/>
                <w:highlight w:val="none"/>
                <w:u w:val="none"/>
                <w:lang w:eastAsia="zh-CN"/>
              </w:rPr>
              <w:t>②</w:t>
            </w:r>
            <w:r>
              <w:rPr>
                <w:rFonts w:hint="eastAsia" w:ascii="宋体" w:hAnsi="宋体" w:eastAsia="宋体" w:cs="宋体"/>
                <w:b/>
                <w:color w:val="auto"/>
                <w:spacing w:val="0"/>
                <w:kern w:val="2"/>
                <w:sz w:val="24"/>
                <w:szCs w:val="24"/>
                <w:highlight w:val="none"/>
                <w:u w:val="none"/>
                <w:lang w:val="en-US" w:eastAsia="zh-CN"/>
              </w:rPr>
              <w:t>提供</w:t>
            </w:r>
            <w:r>
              <w:rPr>
                <w:rFonts w:hint="eastAsia" w:ascii="宋体" w:hAnsi="宋体" w:eastAsia="宋体" w:cs="宋体"/>
                <w:b/>
                <w:color w:val="auto"/>
                <w:spacing w:val="0"/>
                <w:kern w:val="2"/>
                <w:sz w:val="24"/>
                <w:szCs w:val="24"/>
                <w:highlight w:val="none"/>
                <w:u w:val="none"/>
              </w:rPr>
              <w:t>投标人运营关系或承包运营关系证据材料扫描件</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服务合同等</w:t>
            </w:r>
            <w:r>
              <w:rPr>
                <w:rFonts w:hint="eastAsia" w:ascii="宋体" w:hAnsi="宋体" w:eastAsia="宋体" w:cs="宋体"/>
                <w:b/>
                <w:color w:val="auto"/>
                <w:spacing w:val="0"/>
                <w:kern w:val="2"/>
                <w:sz w:val="24"/>
                <w:szCs w:val="24"/>
                <w:highlight w:val="none"/>
                <w:u w:val="none"/>
                <w:lang w:eastAsia="zh-CN"/>
              </w:rPr>
              <w:t>）；</w:t>
            </w:r>
            <w:r>
              <w:rPr>
                <w:rFonts w:hint="default" w:ascii="Calibri" w:hAnsi="Calibri" w:eastAsia="宋体" w:cs="Calibri"/>
                <w:b/>
                <w:color w:val="auto"/>
                <w:spacing w:val="0"/>
                <w:kern w:val="2"/>
                <w:sz w:val="24"/>
                <w:szCs w:val="24"/>
                <w:highlight w:val="none"/>
                <w:u w:val="none"/>
                <w:lang w:eastAsia="zh-CN"/>
              </w:rPr>
              <w:t>③</w:t>
            </w:r>
            <w:r>
              <w:rPr>
                <w:rFonts w:hint="eastAsia" w:ascii="宋体" w:hAnsi="宋体" w:eastAsia="宋体" w:cs="宋体"/>
                <w:b/>
                <w:color w:val="auto"/>
                <w:spacing w:val="0"/>
                <w:kern w:val="2"/>
                <w:sz w:val="24"/>
                <w:szCs w:val="24"/>
                <w:highlight w:val="none"/>
                <w:u w:val="none"/>
                <w:lang w:val="en-US" w:eastAsia="zh-CN"/>
              </w:rPr>
              <w:t>提供</w:t>
            </w:r>
            <w:r>
              <w:rPr>
                <w:rFonts w:hint="eastAsia" w:ascii="宋体" w:hAnsi="宋体" w:eastAsia="宋体" w:cs="宋体"/>
                <w:b/>
                <w:color w:val="auto"/>
                <w:spacing w:val="0"/>
                <w:kern w:val="2"/>
                <w:sz w:val="24"/>
                <w:szCs w:val="24"/>
                <w:highlight w:val="none"/>
                <w:u w:val="none"/>
              </w:rPr>
              <w:t>三级养老机构批复文件扫描件。如未提供材料或提供的材料不符合要求的不得分）</w:t>
            </w:r>
          </w:p>
        </w:tc>
      </w:tr>
      <w:tr w14:paraId="14FCC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1" w:hRule="atLeast"/>
          <w:jc w:val="center"/>
        </w:trPr>
        <w:tc>
          <w:tcPr>
            <w:tcW w:w="756" w:type="dxa"/>
            <w:vMerge w:val="continue"/>
            <w:vAlign w:val="center"/>
          </w:tcPr>
          <w:p w14:paraId="323B9B93">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p>
        </w:tc>
        <w:tc>
          <w:tcPr>
            <w:tcW w:w="1575" w:type="dxa"/>
            <w:vAlign w:val="center"/>
          </w:tcPr>
          <w:p w14:paraId="08537FCC">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left"/>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lang w:val="en-US" w:eastAsia="zh-CN"/>
              </w:rPr>
              <w:t>商务分（管理体系</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3</w:t>
            </w:r>
            <w:r>
              <w:rPr>
                <w:rFonts w:hint="eastAsia" w:ascii="宋体" w:hAnsi="宋体" w:eastAsia="宋体" w:cs="宋体"/>
                <w:b/>
                <w:color w:val="auto"/>
                <w:spacing w:val="0"/>
                <w:kern w:val="2"/>
                <w:sz w:val="24"/>
                <w:szCs w:val="24"/>
                <w:highlight w:val="none"/>
                <w:u w:val="none"/>
              </w:rPr>
              <w:t>分）</w:t>
            </w:r>
          </w:p>
        </w:tc>
        <w:tc>
          <w:tcPr>
            <w:tcW w:w="6515" w:type="dxa"/>
            <w:vAlign w:val="center"/>
          </w:tcPr>
          <w:p w14:paraId="17F4216E">
            <w:pPr>
              <w:keepNext w:val="0"/>
              <w:keepLines w:val="0"/>
              <w:pageBreakBefore w:val="0"/>
              <w:widowControl w:val="0"/>
              <w:numPr>
                <w:ilvl w:val="0"/>
                <w:numId w:val="0"/>
              </w:numPr>
              <w:kinsoku/>
              <w:wordWrap/>
              <w:overflowPunct/>
              <w:topLinePunct w:val="0"/>
              <w:autoSpaceDE/>
              <w:autoSpaceDN/>
              <w:bidi w:val="0"/>
              <w:adjustRightInd/>
              <w:spacing w:line="420" w:lineRule="exact"/>
              <w:ind w:left="0" w:leftChars="0" w:firstLine="480" w:firstLineChars="200"/>
              <w:textAlignment w:val="auto"/>
              <w:rPr>
                <w:rFonts w:hint="eastAsia" w:ascii="宋体" w:hAnsi="宋体" w:eastAsia="宋体" w:cs="宋体"/>
                <w:b w:val="0"/>
                <w:bCs w:val="0"/>
                <w:color w:val="auto"/>
                <w:spacing w:val="0"/>
                <w:kern w:val="2"/>
                <w:sz w:val="24"/>
                <w:szCs w:val="24"/>
                <w:highlight w:val="none"/>
                <w:u w:val="none"/>
              </w:rPr>
            </w:pPr>
            <w:r>
              <w:rPr>
                <w:rFonts w:hint="eastAsia" w:ascii="宋体" w:hAnsi="宋体" w:eastAsia="宋体" w:cs="宋体"/>
                <w:b w:val="0"/>
                <w:bCs w:val="0"/>
                <w:color w:val="auto"/>
                <w:spacing w:val="0"/>
                <w:kern w:val="2"/>
                <w:sz w:val="24"/>
                <w:szCs w:val="24"/>
                <w:highlight w:val="none"/>
                <w:u w:val="none"/>
              </w:rPr>
              <w:t>投标人</w:t>
            </w:r>
            <w:r>
              <w:rPr>
                <w:rFonts w:hint="eastAsia" w:ascii="宋体" w:hAnsi="宋体" w:eastAsia="宋体" w:cs="宋体"/>
                <w:b w:val="0"/>
                <w:bCs w:val="0"/>
                <w:color w:val="auto"/>
                <w:spacing w:val="0"/>
                <w:kern w:val="2"/>
                <w:sz w:val="24"/>
                <w:szCs w:val="24"/>
                <w:highlight w:val="none"/>
                <w:u w:val="none"/>
                <w:lang w:eastAsia="zh-CN"/>
              </w:rPr>
              <w:t>具有</w:t>
            </w:r>
            <w:r>
              <w:rPr>
                <w:rFonts w:hint="eastAsia" w:ascii="宋体" w:hAnsi="宋体" w:eastAsia="宋体" w:cs="宋体"/>
                <w:b w:val="0"/>
                <w:bCs w:val="0"/>
                <w:color w:val="auto"/>
                <w:spacing w:val="0"/>
                <w:kern w:val="2"/>
                <w:sz w:val="24"/>
                <w:szCs w:val="24"/>
                <w:highlight w:val="none"/>
                <w:u w:val="none"/>
              </w:rPr>
              <w:t>资质的第三方认证机构出具的</w:t>
            </w:r>
            <w:r>
              <w:rPr>
                <w:rFonts w:hint="eastAsia" w:ascii="宋体" w:hAnsi="宋体" w:eastAsia="宋体" w:cs="宋体"/>
                <w:b/>
                <w:bCs/>
                <w:color w:val="auto"/>
                <w:spacing w:val="0"/>
                <w:kern w:val="2"/>
                <w:sz w:val="24"/>
                <w:szCs w:val="24"/>
                <w:highlight w:val="none"/>
                <w:u w:val="none"/>
              </w:rPr>
              <w:t>质量管理体系认证证书、环境管理体系认证证书、职业健康安全管理体系认证证书</w:t>
            </w:r>
            <w:r>
              <w:rPr>
                <w:rFonts w:hint="eastAsia" w:ascii="宋体" w:hAnsi="宋体" w:eastAsia="宋体" w:cs="宋体"/>
                <w:b w:val="0"/>
                <w:bCs w:val="0"/>
                <w:color w:val="auto"/>
                <w:spacing w:val="0"/>
                <w:kern w:val="2"/>
                <w:sz w:val="24"/>
                <w:szCs w:val="24"/>
                <w:highlight w:val="none"/>
                <w:u w:val="none"/>
              </w:rPr>
              <w:t>，且认证证书在有效期内，认证范围须包括养老服务</w:t>
            </w:r>
            <w:r>
              <w:rPr>
                <w:rFonts w:hint="eastAsia" w:ascii="宋体" w:hAnsi="宋体" w:eastAsia="宋体" w:cs="宋体"/>
                <w:b w:val="0"/>
                <w:bCs w:val="0"/>
                <w:color w:val="auto"/>
                <w:spacing w:val="0"/>
                <w:kern w:val="2"/>
                <w:sz w:val="24"/>
                <w:szCs w:val="24"/>
                <w:highlight w:val="none"/>
                <w:u w:val="none"/>
                <w:lang w:val="en-US" w:eastAsia="zh-CN"/>
              </w:rPr>
              <w:t>相关</w:t>
            </w:r>
            <w:r>
              <w:rPr>
                <w:rFonts w:hint="eastAsia" w:ascii="宋体" w:hAnsi="宋体" w:eastAsia="宋体" w:cs="宋体"/>
                <w:b w:val="0"/>
                <w:bCs w:val="0"/>
                <w:color w:val="auto"/>
                <w:spacing w:val="0"/>
                <w:kern w:val="2"/>
                <w:sz w:val="24"/>
                <w:szCs w:val="24"/>
                <w:highlight w:val="none"/>
                <w:u w:val="none"/>
              </w:rPr>
              <w:t xml:space="preserve">内容，同时须在国家认证认可监督管理委员会官网（www.cnca.gov.cn）可查询，须为有效状态，每提供一种认证证书的得 </w:t>
            </w:r>
            <w:r>
              <w:rPr>
                <w:rFonts w:hint="eastAsia" w:ascii="宋体" w:hAnsi="宋体" w:eastAsia="宋体" w:cs="宋体"/>
                <w:b w:val="0"/>
                <w:bCs w:val="0"/>
                <w:color w:val="auto"/>
                <w:spacing w:val="0"/>
                <w:kern w:val="2"/>
                <w:sz w:val="24"/>
                <w:szCs w:val="24"/>
                <w:highlight w:val="none"/>
                <w:u w:val="none"/>
                <w:lang w:val="en-US" w:eastAsia="zh-CN"/>
              </w:rPr>
              <w:t>1</w:t>
            </w:r>
            <w:r>
              <w:rPr>
                <w:rFonts w:hint="eastAsia" w:ascii="宋体" w:hAnsi="宋体" w:eastAsia="宋体" w:cs="宋体"/>
                <w:b w:val="0"/>
                <w:bCs w:val="0"/>
                <w:color w:val="auto"/>
                <w:spacing w:val="0"/>
                <w:kern w:val="2"/>
                <w:sz w:val="24"/>
                <w:szCs w:val="24"/>
                <w:highlight w:val="none"/>
                <w:u w:val="none"/>
              </w:rPr>
              <w:t>分，最</w:t>
            </w:r>
            <w:r>
              <w:rPr>
                <w:rFonts w:hint="eastAsia" w:ascii="宋体" w:hAnsi="宋体" w:eastAsia="宋体" w:cs="宋体"/>
                <w:b w:val="0"/>
                <w:bCs w:val="0"/>
                <w:color w:val="auto"/>
                <w:spacing w:val="0"/>
                <w:kern w:val="2"/>
                <w:sz w:val="24"/>
                <w:szCs w:val="24"/>
                <w:highlight w:val="none"/>
                <w:u w:val="none"/>
                <w:lang w:val="en-US" w:eastAsia="zh-CN"/>
              </w:rPr>
              <w:t>高</w:t>
            </w:r>
            <w:r>
              <w:rPr>
                <w:rFonts w:hint="eastAsia" w:ascii="宋体" w:hAnsi="宋体" w:eastAsia="宋体" w:cs="宋体"/>
                <w:b w:val="0"/>
                <w:bCs w:val="0"/>
                <w:color w:val="auto"/>
                <w:spacing w:val="0"/>
                <w:kern w:val="2"/>
                <w:sz w:val="24"/>
                <w:szCs w:val="24"/>
                <w:highlight w:val="none"/>
                <w:u w:val="none"/>
              </w:rPr>
              <w:t>得</w:t>
            </w:r>
            <w:r>
              <w:rPr>
                <w:rFonts w:hint="eastAsia" w:ascii="宋体" w:hAnsi="宋体" w:eastAsia="宋体" w:cs="宋体"/>
                <w:b w:val="0"/>
                <w:bCs w:val="0"/>
                <w:color w:val="auto"/>
                <w:spacing w:val="0"/>
                <w:kern w:val="2"/>
                <w:sz w:val="24"/>
                <w:szCs w:val="24"/>
                <w:highlight w:val="none"/>
                <w:u w:val="none"/>
                <w:lang w:val="en-US" w:eastAsia="zh-CN"/>
              </w:rPr>
              <w:t>3</w:t>
            </w:r>
            <w:r>
              <w:rPr>
                <w:rFonts w:hint="eastAsia" w:ascii="宋体" w:hAnsi="宋体" w:eastAsia="宋体" w:cs="宋体"/>
                <w:b w:val="0"/>
                <w:bCs w:val="0"/>
                <w:color w:val="auto"/>
                <w:spacing w:val="0"/>
                <w:kern w:val="2"/>
                <w:sz w:val="24"/>
                <w:szCs w:val="24"/>
                <w:highlight w:val="none"/>
                <w:u w:val="none"/>
              </w:rPr>
              <w:t>分。</w:t>
            </w:r>
          </w:p>
          <w:p w14:paraId="2FE39AC5">
            <w:pPr>
              <w:keepNext w:val="0"/>
              <w:keepLines w:val="0"/>
              <w:pageBreakBefore w:val="0"/>
              <w:widowControl w:val="0"/>
              <w:numPr>
                <w:ilvl w:val="0"/>
                <w:numId w:val="0"/>
              </w:numPr>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bCs/>
                <w:color w:val="auto"/>
                <w:spacing w:val="0"/>
                <w:kern w:val="2"/>
                <w:sz w:val="24"/>
                <w:szCs w:val="24"/>
                <w:highlight w:val="none"/>
                <w:u w:val="none"/>
              </w:rPr>
            </w:pPr>
            <w:r>
              <w:rPr>
                <w:rFonts w:hint="eastAsia" w:ascii="宋体" w:hAnsi="宋体" w:eastAsia="宋体" w:cs="宋体"/>
                <w:b/>
                <w:bCs/>
                <w:color w:val="auto"/>
                <w:spacing w:val="0"/>
                <w:kern w:val="2"/>
                <w:sz w:val="24"/>
                <w:szCs w:val="24"/>
                <w:highlight w:val="none"/>
                <w:u w:val="none"/>
                <w:lang w:val="en-US" w:eastAsia="zh-CN"/>
              </w:rPr>
              <w:t>注：</w:t>
            </w:r>
            <w:r>
              <w:rPr>
                <w:rFonts w:hint="eastAsia" w:ascii="宋体" w:hAnsi="宋体" w:eastAsia="宋体" w:cs="宋体"/>
                <w:b/>
                <w:bCs/>
                <w:color w:val="auto"/>
                <w:spacing w:val="0"/>
                <w:kern w:val="2"/>
                <w:sz w:val="24"/>
                <w:szCs w:val="24"/>
                <w:highlight w:val="none"/>
                <w:u w:val="none"/>
              </w:rPr>
              <w:t>投标人投标时须提供认证证书扫描件及在国家认证认可监督管理委员会官网有效状态截图，</w:t>
            </w:r>
            <w:r>
              <w:rPr>
                <w:rFonts w:hint="eastAsia" w:ascii="宋体" w:hAnsi="宋体" w:eastAsia="宋体" w:cs="宋体"/>
                <w:b/>
                <w:bCs/>
                <w:color w:val="auto"/>
                <w:spacing w:val="0"/>
                <w:kern w:val="2"/>
                <w:sz w:val="24"/>
                <w:szCs w:val="24"/>
                <w:highlight w:val="none"/>
                <w:u w:val="none"/>
                <w:lang w:val="en-US" w:eastAsia="zh-CN"/>
              </w:rPr>
              <w:t>未</w:t>
            </w:r>
            <w:r>
              <w:rPr>
                <w:rFonts w:hint="eastAsia" w:ascii="宋体" w:hAnsi="宋体" w:eastAsia="宋体" w:cs="宋体"/>
                <w:b/>
                <w:bCs/>
                <w:color w:val="auto"/>
                <w:spacing w:val="0"/>
                <w:kern w:val="2"/>
                <w:sz w:val="24"/>
                <w:szCs w:val="24"/>
                <w:highlight w:val="none"/>
                <w:u w:val="none"/>
              </w:rPr>
              <w:t>提供或提供的证明材料不符合本评分项要求的不得分。</w:t>
            </w:r>
          </w:p>
          <w:p w14:paraId="54CBFB0E">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p>
        </w:tc>
      </w:tr>
      <w:tr w14:paraId="31490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1" w:hRule="atLeast"/>
          <w:jc w:val="center"/>
        </w:trPr>
        <w:tc>
          <w:tcPr>
            <w:tcW w:w="756" w:type="dxa"/>
            <w:vMerge w:val="continue"/>
            <w:vAlign w:val="center"/>
          </w:tcPr>
          <w:p w14:paraId="45FBD7C8">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p>
        </w:tc>
        <w:tc>
          <w:tcPr>
            <w:tcW w:w="1575" w:type="dxa"/>
            <w:vAlign w:val="center"/>
          </w:tcPr>
          <w:p w14:paraId="6994739C">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left"/>
              <w:textAlignment w:val="auto"/>
              <w:rPr>
                <w:rFonts w:hint="eastAsia" w:ascii="宋体" w:hAnsi="宋体" w:eastAsia="宋体" w:cs="宋体"/>
                <w:b/>
                <w:color w:val="auto"/>
                <w:spacing w:val="0"/>
                <w:kern w:val="2"/>
                <w:sz w:val="24"/>
                <w:szCs w:val="24"/>
                <w:highlight w:val="none"/>
                <w:u w:val="none"/>
                <w:lang w:val="en-US" w:eastAsia="zh-CN"/>
              </w:rPr>
            </w:pPr>
            <w:r>
              <w:rPr>
                <w:rFonts w:hint="eastAsia" w:ascii="宋体" w:hAnsi="宋体" w:eastAsia="宋体" w:cs="宋体"/>
                <w:b/>
                <w:color w:val="auto"/>
                <w:spacing w:val="0"/>
                <w:kern w:val="2"/>
                <w:sz w:val="24"/>
                <w:szCs w:val="24"/>
                <w:highlight w:val="none"/>
                <w:u w:val="none"/>
                <w:lang w:val="en-US" w:eastAsia="zh-CN"/>
              </w:rPr>
              <w:t>商务分（荣誉表彰</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3</w:t>
            </w:r>
            <w:r>
              <w:rPr>
                <w:rFonts w:hint="eastAsia" w:ascii="宋体" w:hAnsi="宋体" w:eastAsia="宋体" w:cs="宋体"/>
                <w:b/>
                <w:color w:val="auto"/>
                <w:spacing w:val="0"/>
                <w:kern w:val="2"/>
                <w:sz w:val="24"/>
                <w:szCs w:val="24"/>
                <w:highlight w:val="none"/>
                <w:u w:val="none"/>
              </w:rPr>
              <w:t>分）</w:t>
            </w:r>
          </w:p>
        </w:tc>
        <w:tc>
          <w:tcPr>
            <w:tcW w:w="6515" w:type="dxa"/>
            <w:vAlign w:val="center"/>
          </w:tcPr>
          <w:p w14:paraId="52A25B5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pacing w:val="0"/>
                <w:kern w:val="2"/>
                <w:sz w:val="24"/>
                <w:szCs w:val="24"/>
                <w:highlight w:val="none"/>
                <w:u w:val="none"/>
                <w:lang w:val="en-US" w:eastAsia="zh-CN"/>
              </w:rPr>
            </w:pPr>
            <w:r>
              <w:rPr>
                <w:rFonts w:hint="eastAsia" w:ascii="宋体" w:hAnsi="宋体" w:eastAsia="宋体" w:cs="宋体"/>
                <w:b w:val="0"/>
                <w:bCs w:val="0"/>
                <w:color w:val="auto"/>
                <w:spacing w:val="0"/>
                <w:kern w:val="2"/>
                <w:sz w:val="24"/>
                <w:szCs w:val="24"/>
                <w:highlight w:val="none"/>
                <w:u w:val="none"/>
                <w:lang w:val="en-US" w:eastAsia="zh-CN"/>
              </w:rPr>
              <w:t>投标人自2021年1月1日以来（以荣誉证书或发文文件发布时间为准，如同时提供荣誉证书和发文文件的，以先发布的时间为准）获得县级及以上行政主管部门颁发的与本项目相关的荣誉表彰，每一项得 1分，本项最高得3分。</w:t>
            </w:r>
          </w:p>
          <w:p w14:paraId="192EC455">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bCs/>
                <w:color w:val="auto"/>
                <w:spacing w:val="0"/>
                <w:kern w:val="2"/>
                <w:sz w:val="24"/>
                <w:szCs w:val="24"/>
                <w:highlight w:val="none"/>
                <w:u w:val="none"/>
                <w:lang w:val="en-US" w:eastAsia="zh-CN"/>
              </w:rPr>
              <w:t>注：投标人须提供荣誉证书或发文文件扫描件。</w:t>
            </w:r>
          </w:p>
        </w:tc>
      </w:tr>
      <w:tr w14:paraId="5AA85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jc w:val="center"/>
        </w:trPr>
        <w:tc>
          <w:tcPr>
            <w:tcW w:w="756" w:type="dxa"/>
            <w:vMerge w:val="restart"/>
            <w:vAlign w:val="center"/>
          </w:tcPr>
          <w:p w14:paraId="33F5CA1B">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eastAsia="zh-CN"/>
              </w:rPr>
            </w:pPr>
            <w:r>
              <w:rPr>
                <w:rFonts w:hint="eastAsia" w:ascii="宋体" w:hAnsi="宋体" w:eastAsia="宋体" w:cs="宋体"/>
                <w:b/>
                <w:color w:val="auto"/>
                <w:spacing w:val="0"/>
                <w:kern w:val="2"/>
                <w:sz w:val="24"/>
                <w:szCs w:val="24"/>
                <w:highlight w:val="none"/>
                <w:u w:val="none"/>
                <w:lang w:val="en-US" w:eastAsia="zh-CN"/>
              </w:rPr>
              <w:t>3</w:t>
            </w:r>
          </w:p>
        </w:tc>
        <w:tc>
          <w:tcPr>
            <w:tcW w:w="1575" w:type="dxa"/>
            <w:vAlign w:val="center"/>
          </w:tcPr>
          <w:p w14:paraId="2989EF38">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val="en-US" w:eastAsia="zh-CN"/>
              </w:rPr>
            </w:pPr>
            <w:r>
              <w:rPr>
                <w:rFonts w:hint="eastAsia" w:ascii="宋体" w:hAnsi="宋体" w:eastAsia="宋体" w:cs="宋体"/>
                <w:b/>
                <w:color w:val="auto"/>
                <w:spacing w:val="0"/>
                <w:kern w:val="2"/>
                <w:sz w:val="24"/>
                <w:szCs w:val="24"/>
                <w:highlight w:val="none"/>
                <w:u w:val="none"/>
                <w:lang w:val="en-US" w:eastAsia="zh-CN"/>
              </w:rPr>
              <w:t>服务</w:t>
            </w:r>
            <w:r>
              <w:rPr>
                <w:rFonts w:hint="eastAsia" w:ascii="宋体" w:hAnsi="宋体" w:eastAsia="宋体" w:cs="宋体"/>
                <w:b/>
                <w:color w:val="auto"/>
                <w:spacing w:val="0"/>
                <w:kern w:val="2"/>
                <w:sz w:val="24"/>
                <w:szCs w:val="24"/>
                <w:highlight w:val="none"/>
                <w:u w:val="none"/>
              </w:rPr>
              <w:t>团队</w:t>
            </w:r>
            <w:r>
              <w:rPr>
                <w:rFonts w:hint="eastAsia" w:ascii="宋体" w:hAnsi="宋体" w:eastAsia="宋体" w:cs="宋体"/>
                <w:b/>
                <w:color w:val="auto"/>
                <w:spacing w:val="0"/>
                <w:kern w:val="2"/>
                <w:sz w:val="24"/>
                <w:szCs w:val="24"/>
                <w:highlight w:val="none"/>
                <w:u w:val="none"/>
                <w:lang w:eastAsia="zh-CN"/>
              </w:rPr>
              <w:t>（项目负责人）</w:t>
            </w:r>
          </w:p>
          <w:p w14:paraId="763E2EDD">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6</w:t>
            </w:r>
            <w:r>
              <w:rPr>
                <w:rFonts w:hint="eastAsia" w:ascii="宋体" w:hAnsi="宋体" w:eastAsia="宋体" w:cs="宋体"/>
                <w:b/>
                <w:color w:val="auto"/>
                <w:spacing w:val="0"/>
                <w:kern w:val="2"/>
                <w:sz w:val="24"/>
                <w:szCs w:val="24"/>
                <w:highlight w:val="none"/>
                <w:u w:val="none"/>
              </w:rPr>
              <w:t>分）</w:t>
            </w:r>
          </w:p>
        </w:tc>
        <w:tc>
          <w:tcPr>
            <w:tcW w:w="6515" w:type="dxa"/>
            <w:tcBorders>
              <w:bottom w:val="single" w:color="auto" w:sz="4" w:space="0"/>
            </w:tcBorders>
            <w:vAlign w:val="center"/>
          </w:tcPr>
          <w:p w14:paraId="613C72E3">
            <w:pPr>
              <w:keepNext w:val="0"/>
              <w:keepLines w:val="0"/>
              <w:pageBreakBefore w:val="0"/>
              <w:widowControl w:val="0"/>
              <w:numPr>
                <w:ilvl w:val="0"/>
                <w:numId w:val="0"/>
              </w:numPr>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color w:val="auto"/>
                <w:spacing w:val="0"/>
                <w:kern w:val="2"/>
                <w:sz w:val="24"/>
                <w:szCs w:val="24"/>
                <w:highlight w:val="none"/>
                <w:u w:val="none"/>
              </w:rPr>
            </w:pPr>
            <w:r>
              <w:rPr>
                <w:rFonts w:hint="eastAsia" w:ascii="宋体" w:hAnsi="宋体" w:eastAsia="宋体" w:cs="宋体"/>
                <w:b w:val="0"/>
                <w:bCs/>
                <w:color w:val="auto"/>
                <w:spacing w:val="0"/>
                <w:kern w:val="2"/>
                <w:sz w:val="24"/>
                <w:szCs w:val="24"/>
                <w:highlight w:val="none"/>
                <w:u w:val="none"/>
              </w:rPr>
              <w:t>项目负责人（6分）</w:t>
            </w:r>
          </w:p>
          <w:p w14:paraId="70DC0E1E">
            <w:pPr>
              <w:keepNext w:val="0"/>
              <w:keepLines w:val="0"/>
              <w:pageBreakBefore w:val="0"/>
              <w:widowControl w:val="0"/>
              <w:numPr>
                <w:ilvl w:val="255"/>
                <w:numId w:val="0"/>
              </w:numPr>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color w:val="auto"/>
                <w:spacing w:val="0"/>
                <w:kern w:val="2"/>
                <w:sz w:val="24"/>
                <w:szCs w:val="24"/>
                <w:highlight w:val="none"/>
                <w:u w:val="none"/>
                <w:lang w:eastAsia="zh-CN"/>
              </w:rPr>
            </w:pPr>
            <w:r>
              <w:rPr>
                <w:rFonts w:hint="eastAsia" w:ascii="宋体" w:hAnsi="宋体" w:eastAsia="宋体" w:cs="宋体"/>
                <w:b w:val="0"/>
                <w:bCs/>
                <w:color w:val="auto"/>
                <w:spacing w:val="0"/>
                <w:kern w:val="2"/>
                <w:sz w:val="24"/>
                <w:szCs w:val="24"/>
                <w:highlight w:val="none"/>
                <w:u w:val="none"/>
              </w:rPr>
              <w:t>（1）拟投入本项目的负责人具有大专及以上</w:t>
            </w:r>
            <w:r>
              <w:rPr>
                <w:rFonts w:hint="eastAsia" w:ascii="宋体" w:hAnsi="宋体" w:eastAsia="宋体" w:cs="宋体"/>
                <w:b w:val="0"/>
                <w:bCs/>
                <w:color w:val="auto"/>
                <w:spacing w:val="0"/>
                <w:kern w:val="2"/>
                <w:sz w:val="24"/>
                <w:szCs w:val="24"/>
                <w:highlight w:val="none"/>
                <w:u w:val="none"/>
                <w:lang w:val="en-US" w:eastAsia="zh-CN"/>
              </w:rPr>
              <w:t>学历</w:t>
            </w:r>
            <w:r>
              <w:rPr>
                <w:rFonts w:hint="eastAsia" w:ascii="宋体" w:hAnsi="宋体" w:eastAsia="宋体" w:cs="宋体"/>
                <w:b w:val="0"/>
                <w:bCs/>
                <w:color w:val="auto"/>
                <w:spacing w:val="0"/>
                <w:kern w:val="2"/>
                <w:sz w:val="24"/>
                <w:szCs w:val="24"/>
                <w:highlight w:val="none"/>
                <w:u w:val="none"/>
              </w:rPr>
              <w:t>（1分）</w:t>
            </w:r>
            <w:r>
              <w:rPr>
                <w:rFonts w:hint="eastAsia" w:ascii="宋体" w:hAnsi="宋体" w:eastAsia="宋体" w:cs="宋体"/>
                <w:b w:val="0"/>
                <w:bCs/>
                <w:color w:val="auto"/>
                <w:spacing w:val="0"/>
                <w:kern w:val="2"/>
                <w:sz w:val="24"/>
                <w:szCs w:val="24"/>
                <w:highlight w:val="none"/>
                <w:u w:val="none"/>
                <w:lang w:eastAsia="zh-CN"/>
              </w:rPr>
              <w:t>；</w:t>
            </w:r>
          </w:p>
          <w:p w14:paraId="036D5804">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color w:val="auto"/>
                <w:spacing w:val="0"/>
                <w:kern w:val="2"/>
                <w:sz w:val="24"/>
                <w:szCs w:val="24"/>
                <w:highlight w:val="none"/>
                <w:u w:val="none"/>
                <w:lang w:eastAsia="zh-CN"/>
              </w:rPr>
            </w:pPr>
            <w:r>
              <w:rPr>
                <w:rFonts w:hint="eastAsia" w:ascii="宋体" w:hAnsi="宋体" w:eastAsia="宋体" w:cs="宋体"/>
                <w:b w:val="0"/>
                <w:bCs/>
                <w:color w:val="auto"/>
                <w:spacing w:val="0"/>
                <w:kern w:val="2"/>
                <w:sz w:val="24"/>
                <w:szCs w:val="24"/>
                <w:highlight w:val="none"/>
                <w:u w:val="none"/>
              </w:rPr>
              <w:t>（2）持有三级以上等级养老护理员证书（1分）</w:t>
            </w:r>
            <w:r>
              <w:rPr>
                <w:rFonts w:hint="eastAsia" w:ascii="宋体" w:hAnsi="宋体" w:eastAsia="宋体" w:cs="宋体"/>
                <w:b w:val="0"/>
                <w:bCs/>
                <w:color w:val="auto"/>
                <w:spacing w:val="0"/>
                <w:kern w:val="2"/>
                <w:sz w:val="24"/>
                <w:szCs w:val="24"/>
                <w:highlight w:val="none"/>
                <w:u w:val="none"/>
                <w:lang w:eastAsia="zh-CN"/>
              </w:rPr>
              <w:t>；</w:t>
            </w:r>
          </w:p>
          <w:p w14:paraId="006151F0">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color w:val="auto"/>
                <w:spacing w:val="0"/>
                <w:kern w:val="2"/>
                <w:sz w:val="24"/>
                <w:szCs w:val="24"/>
                <w:highlight w:val="none"/>
                <w:u w:val="none"/>
                <w:lang w:eastAsia="zh-CN"/>
              </w:rPr>
            </w:pPr>
            <w:r>
              <w:rPr>
                <w:rFonts w:hint="eastAsia" w:ascii="宋体" w:hAnsi="宋体" w:eastAsia="宋体" w:cs="宋体"/>
                <w:b w:val="0"/>
                <w:bCs/>
                <w:color w:val="auto"/>
                <w:spacing w:val="0"/>
                <w:kern w:val="2"/>
                <w:sz w:val="24"/>
                <w:szCs w:val="24"/>
                <w:highlight w:val="none"/>
                <w:u w:val="none"/>
              </w:rPr>
              <w:t>（3）持有助理社会工作师及以上等级证书（1分）</w:t>
            </w:r>
            <w:r>
              <w:rPr>
                <w:rFonts w:hint="eastAsia" w:ascii="宋体" w:hAnsi="宋体" w:eastAsia="宋体" w:cs="宋体"/>
                <w:b w:val="0"/>
                <w:bCs/>
                <w:color w:val="auto"/>
                <w:spacing w:val="0"/>
                <w:kern w:val="2"/>
                <w:sz w:val="24"/>
                <w:szCs w:val="24"/>
                <w:highlight w:val="none"/>
                <w:u w:val="none"/>
                <w:lang w:eastAsia="zh-CN"/>
              </w:rPr>
              <w:t>；</w:t>
            </w:r>
          </w:p>
          <w:p w14:paraId="1EAB2C5F">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color w:val="auto"/>
                <w:spacing w:val="0"/>
                <w:kern w:val="2"/>
                <w:sz w:val="24"/>
                <w:szCs w:val="24"/>
                <w:highlight w:val="none"/>
                <w:u w:val="none"/>
                <w:lang w:eastAsia="zh-CN"/>
              </w:rPr>
            </w:pPr>
            <w:r>
              <w:rPr>
                <w:rFonts w:hint="eastAsia" w:ascii="宋体" w:hAnsi="宋体" w:eastAsia="宋体" w:cs="宋体"/>
                <w:b w:val="0"/>
                <w:bCs/>
                <w:color w:val="auto"/>
                <w:spacing w:val="0"/>
                <w:kern w:val="2"/>
                <w:sz w:val="24"/>
                <w:szCs w:val="24"/>
                <w:highlight w:val="none"/>
                <w:u w:val="none"/>
              </w:rPr>
              <w:t>（4）任职三级及以上等级养老机构（或150张床位以上养老机构）院长2年及以上或副院长4年及以上（2分）</w:t>
            </w:r>
            <w:r>
              <w:rPr>
                <w:rFonts w:hint="eastAsia" w:ascii="宋体" w:hAnsi="宋体" w:eastAsia="宋体" w:cs="宋体"/>
                <w:b w:val="0"/>
                <w:bCs/>
                <w:color w:val="auto"/>
                <w:spacing w:val="0"/>
                <w:kern w:val="2"/>
                <w:sz w:val="24"/>
                <w:szCs w:val="24"/>
                <w:highlight w:val="none"/>
                <w:u w:val="none"/>
                <w:lang w:eastAsia="zh-CN"/>
              </w:rPr>
              <w:t>；</w:t>
            </w:r>
          </w:p>
          <w:p w14:paraId="7F0CD687">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color w:val="auto"/>
                <w:spacing w:val="0"/>
                <w:kern w:val="2"/>
                <w:sz w:val="24"/>
                <w:szCs w:val="24"/>
                <w:highlight w:val="none"/>
                <w:u w:val="none"/>
              </w:rPr>
            </w:pPr>
            <w:r>
              <w:rPr>
                <w:rFonts w:hint="eastAsia" w:ascii="宋体" w:hAnsi="宋体" w:eastAsia="宋体" w:cs="宋体"/>
                <w:b w:val="0"/>
                <w:bCs/>
                <w:color w:val="auto"/>
                <w:spacing w:val="0"/>
                <w:kern w:val="2"/>
                <w:sz w:val="24"/>
                <w:szCs w:val="24"/>
                <w:highlight w:val="none"/>
                <w:u w:val="none"/>
              </w:rPr>
              <w:t>（5）未列入失信人员名单（1分）。</w:t>
            </w:r>
          </w:p>
          <w:p w14:paraId="29E56B04">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jc w:val="left"/>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lang w:val="en-US" w:eastAsia="zh-CN"/>
              </w:rPr>
              <w:t>注：</w:t>
            </w:r>
            <w:r>
              <w:rPr>
                <w:rFonts w:hint="eastAsia" w:ascii="宋体" w:hAnsi="宋体" w:eastAsia="宋体" w:cs="宋体"/>
                <w:b/>
                <w:color w:val="auto"/>
                <w:spacing w:val="0"/>
                <w:kern w:val="2"/>
                <w:sz w:val="24"/>
                <w:szCs w:val="24"/>
                <w:highlight w:val="none"/>
                <w:u w:val="none"/>
              </w:rPr>
              <w:t>投标人投标时</w:t>
            </w:r>
            <w:r>
              <w:rPr>
                <w:rFonts w:hint="eastAsia" w:ascii="宋体" w:hAnsi="宋体" w:eastAsia="宋体" w:cs="宋体"/>
                <w:b/>
                <w:color w:val="auto"/>
                <w:spacing w:val="0"/>
                <w:kern w:val="2"/>
                <w:sz w:val="24"/>
                <w:szCs w:val="24"/>
                <w:highlight w:val="none"/>
                <w:u w:val="none"/>
                <w:lang w:val="en-US" w:eastAsia="zh-CN"/>
              </w:rPr>
              <w:t>须</w:t>
            </w:r>
            <w:r>
              <w:rPr>
                <w:rFonts w:hint="eastAsia" w:ascii="宋体" w:hAnsi="宋体" w:eastAsia="宋体" w:cs="宋体"/>
                <w:b/>
                <w:color w:val="auto"/>
                <w:spacing w:val="0"/>
                <w:kern w:val="2"/>
                <w:sz w:val="24"/>
                <w:szCs w:val="24"/>
                <w:highlight w:val="none"/>
                <w:u w:val="none"/>
              </w:rPr>
              <w:t>提供：1、项目负责人有效的</w:t>
            </w:r>
            <w:r>
              <w:rPr>
                <w:rFonts w:hint="eastAsia" w:ascii="宋体" w:hAnsi="宋体" w:eastAsia="宋体" w:cs="宋体"/>
                <w:b/>
                <w:color w:val="auto"/>
                <w:spacing w:val="0"/>
                <w:kern w:val="2"/>
                <w:sz w:val="24"/>
                <w:szCs w:val="24"/>
                <w:highlight w:val="none"/>
                <w:u w:val="none"/>
                <w:lang w:val="en-US" w:eastAsia="zh-CN"/>
              </w:rPr>
              <w:t>毕业</w:t>
            </w:r>
            <w:r>
              <w:rPr>
                <w:rFonts w:hint="eastAsia" w:ascii="宋体" w:hAnsi="宋体" w:eastAsia="宋体" w:cs="宋体"/>
                <w:b/>
                <w:color w:val="auto"/>
                <w:spacing w:val="0"/>
                <w:kern w:val="2"/>
                <w:sz w:val="24"/>
                <w:szCs w:val="24"/>
                <w:highlight w:val="none"/>
                <w:u w:val="none"/>
              </w:rPr>
              <w:t>证书扫描件。2、人社部门或人社</w:t>
            </w:r>
            <w:r>
              <w:rPr>
                <w:rFonts w:hint="eastAsia" w:ascii="宋体" w:hAnsi="宋体" w:eastAsia="宋体" w:cs="宋体"/>
                <w:b/>
                <w:color w:val="auto"/>
                <w:spacing w:val="0"/>
                <w:kern w:val="2"/>
                <w:sz w:val="24"/>
                <w:szCs w:val="24"/>
                <w:highlight w:val="none"/>
                <w:u w:val="none"/>
                <w:lang w:eastAsia="zh-CN"/>
              </w:rPr>
              <w:t>部门</w:t>
            </w:r>
            <w:r>
              <w:rPr>
                <w:rFonts w:hint="eastAsia" w:ascii="宋体" w:hAnsi="宋体" w:eastAsia="宋体" w:cs="宋体"/>
                <w:b/>
                <w:color w:val="auto"/>
                <w:spacing w:val="0"/>
                <w:kern w:val="2"/>
                <w:sz w:val="24"/>
                <w:szCs w:val="24"/>
                <w:highlight w:val="none"/>
                <w:u w:val="none"/>
              </w:rPr>
              <w:t>授权机构颁发的养老护理员职业资质证书或技能等级证书扫描件。3、人社部和民政部颁发的社工师证书扫描件。4、所任职机构出具的任职三级及以上等级养老机构（或150张床位以上养老机构）院长2年及以上或副院长4年及以上证明</w:t>
            </w:r>
            <w:r>
              <w:rPr>
                <w:rFonts w:hint="eastAsia" w:ascii="宋体" w:hAnsi="宋体" w:eastAsia="宋体" w:cs="宋体"/>
                <w:b/>
                <w:color w:val="auto"/>
                <w:spacing w:val="0"/>
                <w:kern w:val="2"/>
                <w:sz w:val="24"/>
                <w:szCs w:val="24"/>
                <w:highlight w:val="none"/>
                <w:u w:val="none"/>
                <w:lang w:val="en-US" w:eastAsia="zh-CN"/>
              </w:rPr>
              <w:t>材料</w:t>
            </w:r>
            <w:r>
              <w:rPr>
                <w:rFonts w:hint="eastAsia" w:ascii="宋体" w:hAnsi="宋体" w:eastAsia="宋体" w:cs="宋体"/>
                <w:b/>
                <w:color w:val="auto"/>
                <w:spacing w:val="0"/>
                <w:kern w:val="2"/>
                <w:sz w:val="24"/>
                <w:szCs w:val="24"/>
                <w:highlight w:val="none"/>
                <w:u w:val="none"/>
              </w:rPr>
              <w:t>扫描件、该机构的备案证书和登记证书扫描件、养老机构等级证书批复文件扫描件、满足任职年限第一个月和最后一个月的社保证明扫描件。5、未列入失信人员查询截图。未提供或提供的材料不符合要求的，相应分值不得分。）</w:t>
            </w:r>
          </w:p>
          <w:p w14:paraId="03E16096">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p>
        </w:tc>
      </w:tr>
      <w:tr w14:paraId="76175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0" w:hRule="atLeast"/>
          <w:jc w:val="center"/>
        </w:trPr>
        <w:tc>
          <w:tcPr>
            <w:tcW w:w="756" w:type="dxa"/>
            <w:vMerge w:val="continue"/>
            <w:vAlign w:val="center"/>
          </w:tcPr>
          <w:p w14:paraId="2D867503">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val="en-US" w:eastAsia="zh-CN"/>
              </w:rPr>
            </w:pPr>
          </w:p>
        </w:tc>
        <w:tc>
          <w:tcPr>
            <w:tcW w:w="1575" w:type="dxa"/>
            <w:vAlign w:val="center"/>
          </w:tcPr>
          <w:p w14:paraId="6AB34067">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val="en-US" w:eastAsia="zh-CN"/>
              </w:rPr>
            </w:pPr>
            <w:r>
              <w:rPr>
                <w:rFonts w:hint="eastAsia" w:ascii="宋体" w:hAnsi="宋体" w:eastAsia="宋体" w:cs="宋体"/>
                <w:b/>
                <w:color w:val="auto"/>
                <w:spacing w:val="0"/>
                <w:kern w:val="2"/>
                <w:sz w:val="24"/>
                <w:szCs w:val="24"/>
                <w:highlight w:val="none"/>
                <w:u w:val="none"/>
                <w:lang w:val="en-US" w:eastAsia="zh-CN"/>
              </w:rPr>
              <w:t>服务</w:t>
            </w:r>
            <w:r>
              <w:rPr>
                <w:rFonts w:hint="eastAsia" w:ascii="宋体" w:hAnsi="宋体" w:eastAsia="宋体" w:cs="宋体"/>
                <w:b/>
                <w:color w:val="auto"/>
                <w:spacing w:val="0"/>
                <w:kern w:val="2"/>
                <w:sz w:val="24"/>
                <w:szCs w:val="24"/>
                <w:highlight w:val="none"/>
                <w:u w:val="none"/>
              </w:rPr>
              <w:t>团队</w:t>
            </w:r>
            <w:r>
              <w:rPr>
                <w:rFonts w:hint="eastAsia" w:ascii="宋体" w:hAnsi="宋体" w:eastAsia="宋体" w:cs="宋体"/>
                <w:b/>
                <w:color w:val="auto"/>
                <w:spacing w:val="0"/>
                <w:kern w:val="2"/>
                <w:sz w:val="24"/>
                <w:szCs w:val="24"/>
                <w:highlight w:val="none"/>
                <w:u w:val="none"/>
                <w:lang w:eastAsia="zh-CN"/>
              </w:rPr>
              <w:t>（其它成员）</w:t>
            </w:r>
          </w:p>
          <w:p w14:paraId="67D5BE8A">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25</w:t>
            </w:r>
            <w:r>
              <w:rPr>
                <w:rFonts w:hint="eastAsia" w:ascii="宋体" w:hAnsi="宋体" w:eastAsia="宋体" w:cs="宋体"/>
                <w:b/>
                <w:color w:val="auto"/>
                <w:spacing w:val="0"/>
                <w:kern w:val="2"/>
                <w:sz w:val="24"/>
                <w:szCs w:val="24"/>
                <w:highlight w:val="none"/>
                <w:u w:val="none"/>
              </w:rPr>
              <w:t>分）</w:t>
            </w:r>
          </w:p>
        </w:tc>
        <w:tc>
          <w:tcPr>
            <w:tcW w:w="6515" w:type="dxa"/>
            <w:tcBorders>
              <w:bottom w:val="single" w:color="auto" w:sz="4" w:space="0"/>
            </w:tcBorders>
            <w:vAlign w:val="center"/>
          </w:tcPr>
          <w:p w14:paraId="63F1B9F2">
            <w:pPr>
              <w:keepNext w:val="0"/>
              <w:keepLines w:val="0"/>
              <w:pageBreakBefore w:val="0"/>
              <w:widowControl w:val="0"/>
              <w:kinsoku/>
              <w:wordWrap/>
              <w:overflowPunct/>
              <w:topLinePunct w:val="0"/>
              <w:autoSpaceDE/>
              <w:autoSpaceDN/>
              <w:bidi w:val="0"/>
              <w:adjustRightInd/>
              <w:spacing w:line="420" w:lineRule="exact"/>
              <w:jc w:val="left"/>
              <w:textAlignment w:val="auto"/>
              <w:rPr>
                <w:rFonts w:hint="eastAsia" w:ascii="宋体" w:hAnsi="宋体" w:eastAsia="宋体" w:cs="宋体"/>
                <w:b w:val="0"/>
                <w:bCs/>
                <w:color w:val="auto"/>
                <w:spacing w:val="0"/>
                <w:kern w:val="2"/>
                <w:sz w:val="24"/>
                <w:szCs w:val="24"/>
                <w:highlight w:val="none"/>
                <w:u w:val="none"/>
              </w:rPr>
            </w:pPr>
            <w:r>
              <w:rPr>
                <w:rFonts w:hint="eastAsia" w:ascii="宋体" w:hAnsi="宋体" w:eastAsia="宋体" w:cs="宋体"/>
                <w:b w:val="0"/>
                <w:bCs/>
                <w:color w:val="auto"/>
                <w:spacing w:val="0"/>
                <w:kern w:val="2"/>
                <w:sz w:val="24"/>
                <w:szCs w:val="24"/>
                <w:highlight w:val="none"/>
                <w:u w:val="none"/>
                <w:lang w:val="en-US" w:eastAsia="zh-CN"/>
              </w:rPr>
              <w:t>其它</w:t>
            </w:r>
            <w:r>
              <w:rPr>
                <w:rFonts w:hint="eastAsia" w:ascii="宋体" w:hAnsi="宋体" w:eastAsia="宋体" w:cs="宋体"/>
                <w:b w:val="0"/>
                <w:bCs/>
                <w:color w:val="auto"/>
                <w:spacing w:val="0"/>
                <w:kern w:val="2"/>
                <w:sz w:val="24"/>
                <w:szCs w:val="24"/>
                <w:highlight w:val="none"/>
                <w:u w:val="none"/>
              </w:rPr>
              <w:t>成员（ 2</w:t>
            </w:r>
            <w:r>
              <w:rPr>
                <w:rFonts w:hint="eastAsia" w:ascii="宋体" w:hAnsi="宋体" w:eastAsia="宋体" w:cs="宋体"/>
                <w:b w:val="0"/>
                <w:bCs/>
                <w:color w:val="auto"/>
                <w:spacing w:val="0"/>
                <w:kern w:val="2"/>
                <w:sz w:val="24"/>
                <w:szCs w:val="24"/>
                <w:highlight w:val="none"/>
                <w:u w:val="none"/>
                <w:lang w:val="en-US" w:eastAsia="zh-CN"/>
              </w:rPr>
              <w:t>5</w:t>
            </w:r>
            <w:r>
              <w:rPr>
                <w:rFonts w:hint="eastAsia" w:ascii="宋体" w:hAnsi="宋体" w:eastAsia="宋体" w:cs="宋体"/>
                <w:b w:val="0"/>
                <w:bCs/>
                <w:color w:val="auto"/>
                <w:spacing w:val="0"/>
                <w:kern w:val="2"/>
                <w:sz w:val="24"/>
                <w:szCs w:val="24"/>
                <w:highlight w:val="none"/>
                <w:u w:val="none"/>
              </w:rPr>
              <w:t>分）</w:t>
            </w:r>
          </w:p>
          <w:p w14:paraId="7A6199E8">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color w:val="auto"/>
                <w:spacing w:val="0"/>
                <w:kern w:val="2"/>
                <w:sz w:val="24"/>
                <w:szCs w:val="24"/>
                <w:highlight w:val="none"/>
                <w:u w:val="none"/>
              </w:rPr>
            </w:pPr>
            <w:r>
              <w:rPr>
                <w:rFonts w:hint="eastAsia" w:ascii="宋体" w:hAnsi="宋体" w:eastAsia="宋体" w:cs="宋体"/>
                <w:b w:val="0"/>
                <w:bCs/>
                <w:color w:val="auto"/>
                <w:spacing w:val="0"/>
                <w:kern w:val="2"/>
                <w:sz w:val="24"/>
                <w:szCs w:val="24"/>
                <w:highlight w:val="none"/>
                <w:u w:val="none"/>
              </w:rPr>
              <w:t>（1）每配备一名持证养老护理员的，三级及以上得2分，四级及以下得1分，</w:t>
            </w:r>
            <w:r>
              <w:rPr>
                <w:rFonts w:hint="eastAsia" w:ascii="宋体" w:hAnsi="宋体" w:eastAsia="宋体" w:cs="宋体"/>
                <w:b w:val="0"/>
                <w:bCs/>
                <w:color w:val="auto"/>
                <w:spacing w:val="0"/>
                <w:kern w:val="2"/>
                <w:sz w:val="24"/>
                <w:szCs w:val="24"/>
                <w:highlight w:val="none"/>
                <w:u w:val="none"/>
                <w:lang w:val="en-US" w:eastAsia="zh-CN"/>
              </w:rPr>
              <w:t>本项</w:t>
            </w:r>
            <w:r>
              <w:rPr>
                <w:rFonts w:hint="eastAsia" w:ascii="宋体" w:hAnsi="宋体" w:eastAsia="宋体" w:cs="宋体"/>
                <w:b w:val="0"/>
                <w:bCs/>
                <w:color w:val="auto"/>
                <w:spacing w:val="0"/>
                <w:kern w:val="2"/>
                <w:sz w:val="24"/>
                <w:szCs w:val="24"/>
                <w:highlight w:val="none"/>
                <w:u w:val="none"/>
              </w:rPr>
              <w:t>最高得6分；</w:t>
            </w:r>
          </w:p>
          <w:p w14:paraId="4DF4DD60">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color w:val="auto"/>
                <w:spacing w:val="0"/>
                <w:kern w:val="2"/>
                <w:sz w:val="24"/>
                <w:szCs w:val="24"/>
                <w:highlight w:val="none"/>
                <w:u w:val="none"/>
              </w:rPr>
            </w:pPr>
            <w:r>
              <w:rPr>
                <w:rFonts w:hint="eastAsia" w:ascii="宋体" w:hAnsi="宋体" w:eastAsia="宋体" w:cs="宋体"/>
                <w:b w:val="0"/>
                <w:bCs/>
                <w:color w:val="auto"/>
                <w:spacing w:val="0"/>
                <w:kern w:val="2"/>
                <w:sz w:val="24"/>
                <w:szCs w:val="24"/>
                <w:highlight w:val="none"/>
                <w:u w:val="none"/>
              </w:rPr>
              <w:t>（2）每配备一名社会工作师的，初级（助理）得1分，中级及以上得2分，</w:t>
            </w:r>
            <w:r>
              <w:rPr>
                <w:rFonts w:hint="eastAsia" w:ascii="宋体" w:hAnsi="宋体" w:eastAsia="宋体" w:cs="宋体"/>
                <w:b w:val="0"/>
                <w:bCs/>
                <w:color w:val="auto"/>
                <w:spacing w:val="0"/>
                <w:kern w:val="2"/>
                <w:sz w:val="24"/>
                <w:szCs w:val="24"/>
                <w:highlight w:val="none"/>
                <w:u w:val="none"/>
                <w:lang w:val="en-US" w:eastAsia="zh-CN"/>
              </w:rPr>
              <w:t>本项</w:t>
            </w:r>
            <w:r>
              <w:rPr>
                <w:rFonts w:hint="eastAsia" w:ascii="宋体" w:hAnsi="宋体" w:eastAsia="宋体" w:cs="宋体"/>
                <w:b w:val="0"/>
                <w:bCs/>
                <w:color w:val="auto"/>
                <w:spacing w:val="0"/>
                <w:kern w:val="2"/>
                <w:sz w:val="24"/>
                <w:szCs w:val="24"/>
                <w:highlight w:val="none"/>
                <w:u w:val="none"/>
              </w:rPr>
              <w:t>最高得3分；</w:t>
            </w:r>
          </w:p>
          <w:p w14:paraId="1441BBC1">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i w:val="0"/>
                <w:iCs w:val="0"/>
                <w:color w:val="auto"/>
                <w:spacing w:val="0"/>
                <w:kern w:val="2"/>
                <w:sz w:val="24"/>
                <w:szCs w:val="24"/>
                <w:highlight w:val="none"/>
                <w:u w:val="none"/>
              </w:rPr>
            </w:pPr>
            <w:r>
              <w:rPr>
                <w:rFonts w:hint="eastAsia" w:ascii="宋体" w:hAnsi="宋体" w:eastAsia="宋体" w:cs="宋体"/>
                <w:b w:val="0"/>
                <w:bCs/>
                <w:color w:val="auto"/>
                <w:spacing w:val="0"/>
                <w:kern w:val="2"/>
                <w:sz w:val="24"/>
                <w:szCs w:val="24"/>
                <w:highlight w:val="none"/>
                <w:u w:val="none"/>
              </w:rPr>
              <w:t>（</w:t>
            </w:r>
            <w:r>
              <w:rPr>
                <w:rFonts w:hint="eastAsia" w:ascii="宋体" w:hAnsi="宋体" w:eastAsia="宋体" w:cs="宋体"/>
                <w:b w:val="0"/>
                <w:bCs/>
                <w:i w:val="0"/>
                <w:iCs w:val="0"/>
                <w:color w:val="auto"/>
                <w:spacing w:val="0"/>
                <w:kern w:val="2"/>
                <w:sz w:val="24"/>
                <w:szCs w:val="24"/>
                <w:highlight w:val="none"/>
                <w:u w:val="none"/>
              </w:rPr>
              <w:t>3）每配备一名消防设施操作员的，中级得</w:t>
            </w:r>
            <w:r>
              <w:rPr>
                <w:rFonts w:hint="eastAsia" w:ascii="宋体" w:hAnsi="宋体" w:eastAsia="宋体" w:cs="宋体"/>
                <w:b w:val="0"/>
                <w:bCs/>
                <w:i w:val="0"/>
                <w:iCs w:val="0"/>
                <w:color w:val="auto"/>
                <w:spacing w:val="0"/>
                <w:kern w:val="2"/>
                <w:sz w:val="24"/>
                <w:szCs w:val="24"/>
                <w:highlight w:val="none"/>
                <w:u w:val="none"/>
                <w:lang w:val="en-US" w:eastAsia="zh-CN"/>
              </w:rPr>
              <w:t>1</w:t>
            </w:r>
            <w:r>
              <w:rPr>
                <w:rFonts w:hint="eastAsia" w:ascii="宋体" w:hAnsi="宋体" w:eastAsia="宋体" w:cs="宋体"/>
                <w:b w:val="0"/>
                <w:bCs/>
                <w:i w:val="0"/>
                <w:iCs w:val="0"/>
                <w:color w:val="auto"/>
                <w:spacing w:val="0"/>
                <w:kern w:val="2"/>
                <w:sz w:val="24"/>
                <w:szCs w:val="24"/>
                <w:highlight w:val="none"/>
                <w:u w:val="none"/>
              </w:rPr>
              <w:t>分，</w:t>
            </w:r>
            <w:r>
              <w:rPr>
                <w:rFonts w:hint="eastAsia" w:ascii="宋体" w:hAnsi="宋体" w:eastAsia="宋体" w:cs="宋体"/>
                <w:b w:val="0"/>
                <w:bCs/>
                <w:i w:val="0"/>
                <w:iCs w:val="0"/>
                <w:color w:val="auto"/>
                <w:spacing w:val="0"/>
                <w:kern w:val="2"/>
                <w:sz w:val="24"/>
                <w:szCs w:val="24"/>
                <w:highlight w:val="none"/>
                <w:u w:val="none"/>
                <w:lang w:val="en-US" w:eastAsia="zh-CN"/>
              </w:rPr>
              <w:t>本项</w:t>
            </w:r>
            <w:r>
              <w:rPr>
                <w:rFonts w:hint="eastAsia" w:ascii="宋体" w:hAnsi="宋体" w:eastAsia="宋体" w:cs="宋体"/>
                <w:b w:val="0"/>
                <w:bCs/>
                <w:i w:val="0"/>
                <w:iCs w:val="0"/>
                <w:color w:val="auto"/>
                <w:spacing w:val="0"/>
                <w:kern w:val="2"/>
                <w:sz w:val="24"/>
                <w:szCs w:val="24"/>
                <w:highlight w:val="none"/>
                <w:u w:val="none"/>
              </w:rPr>
              <w:t>最高得4分；</w:t>
            </w:r>
          </w:p>
          <w:p w14:paraId="061F4F2B">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i w:val="0"/>
                <w:iCs w:val="0"/>
                <w:color w:val="auto"/>
                <w:spacing w:val="0"/>
                <w:kern w:val="2"/>
                <w:sz w:val="24"/>
                <w:szCs w:val="24"/>
                <w:highlight w:val="none"/>
                <w:u w:val="none"/>
              </w:rPr>
            </w:pPr>
            <w:r>
              <w:rPr>
                <w:rFonts w:hint="eastAsia" w:ascii="宋体" w:hAnsi="宋体" w:eastAsia="宋体" w:cs="宋体"/>
                <w:b w:val="0"/>
                <w:bCs/>
                <w:i w:val="0"/>
                <w:iCs w:val="0"/>
                <w:color w:val="auto"/>
                <w:spacing w:val="0"/>
                <w:kern w:val="2"/>
                <w:sz w:val="24"/>
                <w:szCs w:val="24"/>
                <w:highlight w:val="none"/>
                <w:u w:val="none"/>
              </w:rPr>
              <w:t>（4）每配备一名康复治疗师的，得</w:t>
            </w:r>
            <w:r>
              <w:rPr>
                <w:rFonts w:hint="eastAsia" w:ascii="宋体" w:hAnsi="宋体" w:eastAsia="宋体" w:cs="宋体"/>
                <w:b w:val="0"/>
                <w:bCs/>
                <w:i w:val="0"/>
                <w:iCs w:val="0"/>
                <w:color w:val="auto"/>
                <w:spacing w:val="0"/>
                <w:kern w:val="2"/>
                <w:sz w:val="24"/>
                <w:szCs w:val="24"/>
                <w:highlight w:val="none"/>
                <w:u w:val="none"/>
                <w:lang w:val="en-US" w:eastAsia="zh-CN"/>
              </w:rPr>
              <w:t>3</w:t>
            </w:r>
            <w:r>
              <w:rPr>
                <w:rFonts w:hint="eastAsia" w:ascii="宋体" w:hAnsi="宋体" w:eastAsia="宋体" w:cs="宋体"/>
                <w:b w:val="0"/>
                <w:bCs/>
                <w:i w:val="0"/>
                <w:iCs w:val="0"/>
                <w:color w:val="auto"/>
                <w:spacing w:val="0"/>
                <w:kern w:val="2"/>
                <w:sz w:val="24"/>
                <w:szCs w:val="24"/>
                <w:highlight w:val="none"/>
                <w:u w:val="none"/>
              </w:rPr>
              <w:t>分，</w:t>
            </w:r>
            <w:r>
              <w:rPr>
                <w:rFonts w:hint="eastAsia" w:ascii="宋体" w:hAnsi="宋体" w:eastAsia="宋体" w:cs="宋体"/>
                <w:b w:val="0"/>
                <w:bCs/>
                <w:i w:val="0"/>
                <w:iCs w:val="0"/>
                <w:color w:val="auto"/>
                <w:spacing w:val="0"/>
                <w:kern w:val="2"/>
                <w:sz w:val="24"/>
                <w:szCs w:val="24"/>
                <w:highlight w:val="none"/>
                <w:u w:val="none"/>
                <w:lang w:val="en-US" w:eastAsia="zh-CN"/>
              </w:rPr>
              <w:t>本项</w:t>
            </w:r>
            <w:r>
              <w:rPr>
                <w:rFonts w:hint="eastAsia" w:ascii="宋体" w:hAnsi="宋体" w:eastAsia="宋体" w:cs="宋体"/>
                <w:b w:val="0"/>
                <w:bCs/>
                <w:i w:val="0"/>
                <w:iCs w:val="0"/>
                <w:color w:val="auto"/>
                <w:spacing w:val="0"/>
                <w:kern w:val="2"/>
                <w:sz w:val="24"/>
                <w:szCs w:val="24"/>
                <w:highlight w:val="none"/>
                <w:u w:val="none"/>
              </w:rPr>
              <w:t>最高得3分；</w:t>
            </w:r>
          </w:p>
          <w:p w14:paraId="78F7B0A4">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i w:val="0"/>
                <w:iCs w:val="0"/>
                <w:color w:val="auto"/>
                <w:spacing w:val="0"/>
                <w:kern w:val="2"/>
                <w:sz w:val="24"/>
                <w:szCs w:val="24"/>
                <w:highlight w:val="none"/>
                <w:u w:val="none"/>
              </w:rPr>
            </w:pPr>
            <w:r>
              <w:rPr>
                <w:rFonts w:hint="eastAsia" w:ascii="宋体" w:hAnsi="宋体" w:eastAsia="宋体" w:cs="宋体"/>
                <w:b w:val="0"/>
                <w:bCs/>
                <w:i w:val="0"/>
                <w:iCs w:val="0"/>
                <w:color w:val="auto"/>
                <w:spacing w:val="0"/>
                <w:kern w:val="2"/>
                <w:sz w:val="24"/>
                <w:szCs w:val="24"/>
                <w:highlight w:val="none"/>
                <w:u w:val="none"/>
              </w:rPr>
              <w:t>（5）每配备一名健康管理师的，得1分，</w:t>
            </w:r>
            <w:r>
              <w:rPr>
                <w:rFonts w:hint="eastAsia" w:ascii="宋体" w:hAnsi="宋体" w:eastAsia="宋体" w:cs="宋体"/>
                <w:b w:val="0"/>
                <w:bCs/>
                <w:i w:val="0"/>
                <w:iCs w:val="0"/>
                <w:color w:val="auto"/>
                <w:spacing w:val="0"/>
                <w:kern w:val="2"/>
                <w:sz w:val="24"/>
                <w:szCs w:val="24"/>
                <w:highlight w:val="none"/>
                <w:u w:val="none"/>
                <w:lang w:val="en-US" w:eastAsia="zh-CN"/>
              </w:rPr>
              <w:t>本项</w:t>
            </w:r>
            <w:r>
              <w:rPr>
                <w:rFonts w:hint="eastAsia" w:ascii="宋体" w:hAnsi="宋体" w:eastAsia="宋体" w:cs="宋体"/>
                <w:b w:val="0"/>
                <w:bCs/>
                <w:i w:val="0"/>
                <w:iCs w:val="0"/>
                <w:color w:val="auto"/>
                <w:spacing w:val="0"/>
                <w:kern w:val="2"/>
                <w:sz w:val="24"/>
                <w:szCs w:val="24"/>
                <w:highlight w:val="none"/>
                <w:u w:val="none"/>
              </w:rPr>
              <w:t>最高得2分；</w:t>
            </w:r>
          </w:p>
          <w:p w14:paraId="39D4A6FD">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i w:val="0"/>
                <w:iCs w:val="0"/>
                <w:color w:val="auto"/>
                <w:spacing w:val="0"/>
                <w:kern w:val="2"/>
                <w:sz w:val="24"/>
                <w:szCs w:val="24"/>
                <w:highlight w:val="none"/>
                <w:u w:val="none"/>
              </w:rPr>
            </w:pPr>
            <w:r>
              <w:rPr>
                <w:rFonts w:hint="eastAsia" w:ascii="宋体" w:hAnsi="宋体" w:eastAsia="宋体" w:cs="宋体"/>
                <w:b w:val="0"/>
                <w:bCs/>
                <w:i w:val="0"/>
                <w:iCs w:val="0"/>
                <w:color w:val="auto"/>
                <w:spacing w:val="0"/>
                <w:kern w:val="2"/>
                <w:sz w:val="24"/>
                <w:szCs w:val="24"/>
                <w:highlight w:val="none"/>
                <w:u w:val="none"/>
              </w:rPr>
              <w:t>（6）每配备一名心理咨询师的，得1分，</w:t>
            </w:r>
            <w:r>
              <w:rPr>
                <w:rFonts w:hint="eastAsia" w:ascii="宋体" w:hAnsi="宋体" w:eastAsia="宋体" w:cs="宋体"/>
                <w:b w:val="0"/>
                <w:bCs/>
                <w:i w:val="0"/>
                <w:iCs w:val="0"/>
                <w:color w:val="auto"/>
                <w:spacing w:val="0"/>
                <w:kern w:val="2"/>
                <w:sz w:val="24"/>
                <w:szCs w:val="24"/>
                <w:highlight w:val="none"/>
                <w:u w:val="none"/>
                <w:lang w:val="en-US" w:eastAsia="zh-CN"/>
              </w:rPr>
              <w:t>本项</w:t>
            </w:r>
            <w:r>
              <w:rPr>
                <w:rFonts w:hint="eastAsia" w:ascii="宋体" w:hAnsi="宋体" w:eastAsia="宋体" w:cs="宋体"/>
                <w:b w:val="0"/>
                <w:bCs/>
                <w:i w:val="0"/>
                <w:iCs w:val="0"/>
                <w:color w:val="auto"/>
                <w:spacing w:val="0"/>
                <w:kern w:val="2"/>
                <w:sz w:val="24"/>
                <w:szCs w:val="24"/>
                <w:highlight w:val="none"/>
                <w:u w:val="none"/>
              </w:rPr>
              <w:t>最高得2分；</w:t>
            </w:r>
          </w:p>
          <w:p w14:paraId="6CAC9E2A">
            <w:pPr>
              <w:keepNext w:val="0"/>
              <w:keepLines w:val="0"/>
              <w:pageBreakBefore w:val="0"/>
              <w:widowControl w:val="0"/>
              <w:kinsoku/>
              <w:wordWrap/>
              <w:overflowPunct/>
              <w:topLinePunct w:val="0"/>
              <w:autoSpaceDE/>
              <w:autoSpaceDN/>
              <w:bidi w:val="0"/>
              <w:adjustRightInd/>
              <w:spacing w:line="420" w:lineRule="exact"/>
              <w:ind w:left="0" w:leftChars="0" w:firstLine="480" w:firstLineChars="200"/>
              <w:jc w:val="left"/>
              <w:textAlignment w:val="auto"/>
              <w:rPr>
                <w:rFonts w:hint="eastAsia" w:ascii="宋体" w:hAnsi="宋体" w:eastAsia="宋体" w:cs="宋体"/>
                <w:b w:val="0"/>
                <w:bCs/>
                <w:i w:val="0"/>
                <w:iCs w:val="0"/>
                <w:color w:val="auto"/>
                <w:spacing w:val="0"/>
                <w:kern w:val="2"/>
                <w:sz w:val="24"/>
                <w:szCs w:val="24"/>
                <w:highlight w:val="none"/>
                <w:u w:val="none"/>
              </w:rPr>
            </w:pPr>
            <w:r>
              <w:rPr>
                <w:rFonts w:hint="eastAsia" w:ascii="宋体" w:hAnsi="宋体" w:eastAsia="宋体" w:cs="宋体"/>
                <w:b w:val="0"/>
                <w:bCs/>
                <w:i w:val="0"/>
                <w:iCs w:val="0"/>
                <w:color w:val="auto"/>
                <w:spacing w:val="0"/>
                <w:kern w:val="2"/>
                <w:sz w:val="24"/>
                <w:szCs w:val="24"/>
                <w:highlight w:val="none"/>
                <w:u w:val="none"/>
              </w:rPr>
              <w:t>（7）每配备一名养老服务评估员的，得</w:t>
            </w:r>
            <w:r>
              <w:rPr>
                <w:rFonts w:hint="eastAsia" w:ascii="宋体" w:hAnsi="宋体" w:eastAsia="宋体" w:cs="宋体"/>
                <w:b w:val="0"/>
                <w:bCs/>
                <w:i w:val="0"/>
                <w:iCs w:val="0"/>
                <w:color w:val="auto"/>
                <w:spacing w:val="0"/>
                <w:kern w:val="2"/>
                <w:sz w:val="24"/>
                <w:szCs w:val="24"/>
                <w:highlight w:val="none"/>
                <w:u w:val="none"/>
                <w:lang w:val="en-US" w:eastAsia="zh-CN"/>
              </w:rPr>
              <w:t>1</w:t>
            </w:r>
            <w:r>
              <w:rPr>
                <w:rFonts w:hint="eastAsia" w:ascii="宋体" w:hAnsi="宋体" w:eastAsia="宋体" w:cs="宋体"/>
                <w:b w:val="0"/>
                <w:bCs/>
                <w:i w:val="0"/>
                <w:iCs w:val="0"/>
                <w:color w:val="auto"/>
                <w:spacing w:val="0"/>
                <w:kern w:val="2"/>
                <w:sz w:val="24"/>
                <w:szCs w:val="24"/>
                <w:highlight w:val="none"/>
                <w:u w:val="none"/>
              </w:rPr>
              <w:t>分，</w:t>
            </w:r>
            <w:r>
              <w:rPr>
                <w:rFonts w:hint="eastAsia" w:ascii="宋体" w:hAnsi="宋体" w:eastAsia="宋体" w:cs="宋体"/>
                <w:b w:val="0"/>
                <w:bCs/>
                <w:i w:val="0"/>
                <w:iCs w:val="0"/>
                <w:color w:val="auto"/>
                <w:spacing w:val="0"/>
                <w:kern w:val="2"/>
                <w:sz w:val="24"/>
                <w:szCs w:val="24"/>
                <w:highlight w:val="none"/>
                <w:u w:val="none"/>
                <w:lang w:val="en-US" w:eastAsia="zh-CN"/>
              </w:rPr>
              <w:t>本项</w:t>
            </w:r>
            <w:r>
              <w:rPr>
                <w:rFonts w:hint="eastAsia" w:ascii="宋体" w:hAnsi="宋体" w:eastAsia="宋体" w:cs="宋体"/>
                <w:b w:val="0"/>
                <w:bCs/>
                <w:i w:val="0"/>
                <w:iCs w:val="0"/>
                <w:color w:val="auto"/>
                <w:spacing w:val="0"/>
                <w:kern w:val="2"/>
                <w:sz w:val="24"/>
                <w:szCs w:val="24"/>
                <w:highlight w:val="none"/>
                <w:u w:val="none"/>
              </w:rPr>
              <w:t>最高</w:t>
            </w:r>
            <w:r>
              <w:rPr>
                <w:rFonts w:hint="eastAsia" w:ascii="宋体" w:hAnsi="宋体" w:eastAsia="宋体" w:cs="宋体"/>
                <w:b w:val="0"/>
                <w:bCs/>
                <w:i w:val="0"/>
                <w:iCs w:val="0"/>
                <w:color w:val="auto"/>
                <w:spacing w:val="0"/>
                <w:kern w:val="2"/>
                <w:sz w:val="24"/>
                <w:szCs w:val="24"/>
                <w:highlight w:val="none"/>
                <w:u w:val="none"/>
                <w:lang w:val="en-US" w:eastAsia="zh-CN"/>
              </w:rPr>
              <w:t>2</w:t>
            </w:r>
            <w:r>
              <w:rPr>
                <w:rFonts w:hint="eastAsia" w:ascii="宋体" w:hAnsi="宋体" w:eastAsia="宋体" w:cs="宋体"/>
                <w:b w:val="0"/>
                <w:bCs/>
                <w:i w:val="0"/>
                <w:iCs w:val="0"/>
                <w:color w:val="auto"/>
                <w:spacing w:val="0"/>
                <w:kern w:val="2"/>
                <w:sz w:val="24"/>
                <w:szCs w:val="24"/>
                <w:highlight w:val="none"/>
                <w:u w:val="none"/>
              </w:rPr>
              <w:t>分。</w:t>
            </w:r>
          </w:p>
          <w:p w14:paraId="60A3C04A">
            <w:pPr>
              <w:keepNext w:val="0"/>
              <w:keepLines w:val="0"/>
              <w:pageBreakBefore w:val="0"/>
              <w:widowControl w:val="0"/>
              <w:numPr>
                <w:ilvl w:val="0"/>
                <w:numId w:val="0"/>
              </w:numPr>
              <w:kinsoku/>
              <w:wordWrap/>
              <w:overflowPunct/>
              <w:topLinePunct w:val="0"/>
              <w:autoSpaceDE/>
              <w:autoSpaceDN/>
              <w:bidi w:val="0"/>
              <w:adjustRightInd/>
              <w:spacing w:line="420" w:lineRule="exact"/>
              <w:ind w:left="0" w:leftChars="0" w:firstLine="488" w:firstLineChars="200"/>
              <w:jc w:val="both"/>
              <w:textAlignment w:val="auto"/>
              <w:rPr>
                <w:rFonts w:hint="eastAsia" w:ascii="宋体" w:hAnsi="宋体" w:eastAsia="宋体" w:cs="宋体"/>
                <w:b w:val="0"/>
                <w:bCs/>
                <w:i w:val="0"/>
                <w:iCs w:val="0"/>
                <w:color w:val="auto"/>
                <w:spacing w:val="2"/>
                <w:kern w:val="2"/>
                <w:sz w:val="24"/>
                <w:szCs w:val="24"/>
                <w:highlight w:val="none"/>
                <w:u w:val="none"/>
                <w:lang w:val="en-US" w:eastAsia="zh-CN" w:bidi="ar-SA"/>
              </w:rPr>
            </w:pPr>
            <w:r>
              <w:rPr>
                <w:rFonts w:hint="eastAsia" w:ascii="宋体" w:hAnsi="宋体" w:eastAsia="宋体" w:cs="宋体"/>
                <w:b w:val="0"/>
                <w:bCs/>
                <w:i w:val="0"/>
                <w:iCs w:val="0"/>
                <w:color w:val="auto"/>
                <w:spacing w:val="2"/>
                <w:kern w:val="2"/>
                <w:sz w:val="24"/>
                <w:szCs w:val="24"/>
                <w:highlight w:val="none"/>
                <w:u w:val="none"/>
                <w:lang w:val="en-US" w:eastAsia="zh-CN" w:bidi="ar-SA"/>
              </w:rPr>
              <w:t>（8）每配备一名厨师，得1分；</w:t>
            </w:r>
            <w:r>
              <w:rPr>
                <w:rFonts w:hint="eastAsia" w:ascii="宋体" w:hAnsi="宋体" w:eastAsia="仿宋_GB2312" w:cs="宋体"/>
                <w:b w:val="0"/>
                <w:bCs/>
                <w:i w:val="0"/>
                <w:iCs w:val="0"/>
                <w:color w:val="auto"/>
                <w:spacing w:val="2"/>
                <w:kern w:val="2"/>
                <w:sz w:val="24"/>
                <w:szCs w:val="24"/>
                <w:highlight w:val="none"/>
                <w:u w:val="none"/>
                <w:lang w:val="en-US" w:eastAsia="zh-CN" w:bidi="ar-SA"/>
              </w:rPr>
              <w:t>本项</w:t>
            </w:r>
            <w:r>
              <w:rPr>
                <w:rFonts w:hint="eastAsia" w:ascii="宋体" w:hAnsi="宋体" w:eastAsia="宋体" w:cs="宋体"/>
                <w:b w:val="0"/>
                <w:bCs/>
                <w:i w:val="0"/>
                <w:iCs w:val="0"/>
                <w:color w:val="auto"/>
                <w:spacing w:val="2"/>
                <w:kern w:val="2"/>
                <w:sz w:val="24"/>
                <w:szCs w:val="24"/>
                <w:highlight w:val="none"/>
                <w:u w:val="none"/>
                <w:lang w:val="en-US" w:eastAsia="zh-CN" w:bidi="ar-SA"/>
              </w:rPr>
              <w:t>最高得1分</w:t>
            </w:r>
          </w:p>
          <w:p w14:paraId="458F4FAA">
            <w:pPr>
              <w:keepNext w:val="0"/>
              <w:keepLines w:val="0"/>
              <w:pageBreakBefore w:val="0"/>
              <w:widowControl w:val="0"/>
              <w:numPr>
                <w:ilvl w:val="0"/>
                <w:numId w:val="0"/>
              </w:numPr>
              <w:kinsoku/>
              <w:wordWrap/>
              <w:overflowPunct/>
              <w:topLinePunct w:val="0"/>
              <w:autoSpaceDE/>
              <w:autoSpaceDN/>
              <w:bidi w:val="0"/>
              <w:adjustRightInd/>
              <w:spacing w:line="420" w:lineRule="exact"/>
              <w:ind w:left="0" w:leftChars="0" w:firstLine="488" w:firstLineChars="200"/>
              <w:jc w:val="both"/>
              <w:textAlignment w:val="auto"/>
              <w:rPr>
                <w:rFonts w:hint="eastAsia" w:ascii="宋体" w:hAnsi="宋体" w:eastAsia="宋体" w:cs="宋体"/>
                <w:b w:val="0"/>
                <w:bCs/>
                <w:i w:val="0"/>
                <w:iCs w:val="0"/>
                <w:color w:val="auto"/>
                <w:spacing w:val="2"/>
                <w:kern w:val="2"/>
                <w:sz w:val="24"/>
                <w:szCs w:val="24"/>
                <w:highlight w:val="none"/>
                <w:u w:val="none"/>
                <w:lang w:val="en-US" w:eastAsia="zh-CN" w:bidi="ar-SA"/>
              </w:rPr>
            </w:pPr>
            <w:r>
              <w:rPr>
                <w:rFonts w:hint="eastAsia" w:ascii="宋体" w:hAnsi="宋体" w:eastAsia="宋体" w:cs="宋体"/>
                <w:b w:val="0"/>
                <w:bCs/>
                <w:i w:val="0"/>
                <w:iCs w:val="0"/>
                <w:color w:val="auto"/>
                <w:spacing w:val="2"/>
                <w:kern w:val="2"/>
                <w:sz w:val="24"/>
                <w:szCs w:val="24"/>
                <w:highlight w:val="none"/>
                <w:u w:val="none"/>
                <w:lang w:val="en-US" w:eastAsia="zh-CN" w:bidi="ar-SA"/>
              </w:rPr>
              <w:t>（9）每配备一名会计，得1分；</w:t>
            </w:r>
            <w:r>
              <w:rPr>
                <w:rFonts w:hint="eastAsia" w:ascii="宋体" w:hAnsi="宋体" w:eastAsia="仿宋_GB2312" w:cs="宋体"/>
                <w:b w:val="0"/>
                <w:bCs/>
                <w:i w:val="0"/>
                <w:iCs w:val="0"/>
                <w:color w:val="auto"/>
                <w:spacing w:val="2"/>
                <w:kern w:val="2"/>
                <w:sz w:val="24"/>
                <w:szCs w:val="24"/>
                <w:highlight w:val="none"/>
                <w:u w:val="none"/>
                <w:lang w:val="en-US" w:eastAsia="zh-CN" w:bidi="ar-SA"/>
              </w:rPr>
              <w:t>本项</w:t>
            </w:r>
            <w:r>
              <w:rPr>
                <w:rFonts w:hint="eastAsia" w:ascii="宋体" w:hAnsi="宋体" w:eastAsia="宋体" w:cs="宋体"/>
                <w:b w:val="0"/>
                <w:bCs/>
                <w:i w:val="0"/>
                <w:iCs w:val="0"/>
                <w:color w:val="auto"/>
                <w:spacing w:val="2"/>
                <w:kern w:val="2"/>
                <w:sz w:val="24"/>
                <w:szCs w:val="24"/>
                <w:highlight w:val="none"/>
                <w:u w:val="none"/>
                <w:lang w:val="en-US" w:eastAsia="zh-CN" w:bidi="ar-SA"/>
              </w:rPr>
              <w:t>最高得1分</w:t>
            </w:r>
          </w:p>
          <w:p w14:paraId="7E9349EC">
            <w:pPr>
              <w:keepNext w:val="0"/>
              <w:keepLines w:val="0"/>
              <w:pageBreakBefore w:val="0"/>
              <w:widowControl w:val="0"/>
              <w:numPr>
                <w:ilvl w:val="0"/>
                <w:numId w:val="0"/>
              </w:numPr>
              <w:kinsoku/>
              <w:wordWrap/>
              <w:overflowPunct/>
              <w:topLinePunct w:val="0"/>
              <w:autoSpaceDE/>
              <w:autoSpaceDN/>
              <w:bidi w:val="0"/>
              <w:adjustRightInd/>
              <w:spacing w:line="420" w:lineRule="exact"/>
              <w:ind w:left="0" w:leftChars="0" w:firstLine="488" w:firstLineChars="200"/>
              <w:jc w:val="left"/>
              <w:textAlignment w:val="auto"/>
              <w:rPr>
                <w:rFonts w:hint="eastAsia" w:ascii="宋体" w:hAnsi="宋体" w:eastAsia="宋体" w:cs="宋体"/>
                <w:b w:val="0"/>
                <w:bCs/>
                <w:i w:val="0"/>
                <w:iCs w:val="0"/>
                <w:color w:val="auto"/>
                <w:spacing w:val="2"/>
                <w:kern w:val="2"/>
                <w:sz w:val="24"/>
                <w:szCs w:val="24"/>
                <w:highlight w:val="none"/>
                <w:u w:val="none"/>
                <w:lang w:val="en-US" w:eastAsia="zh-CN" w:bidi="ar-SA"/>
              </w:rPr>
            </w:pPr>
            <w:r>
              <w:rPr>
                <w:rFonts w:hint="eastAsia" w:ascii="宋体" w:hAnsi="宋体" w:eastAsia="宋体" w:cs="宋体"/>
                <w:b w:val="0"/>
                <w:bCs/>
                <w:i w:val="0"/>
                <w:iCs w:val="0"/>
                <w:color w:val="auto"/>
                <w:spacing w:val="2"/>
                <w:kern w:val="2"/>
                <w:sz w:val="24"/>
                <w:szCs w:val="24"/>
                <w:highlight w:val="none"/>
                <w:u w:val="none"/>
                <w:lang w:val="en-US" w:eastAsia="zh-CN" w:bidi="ar-SA"/>
              </w:rPr>
              <w:t>（10）每配备一名营养师，得1分，</w:t>
            </w:r>
            <w:r>
              <w:rPr>
                <w:rFonts w:hint="eastAsia" w:ascii="宋体" w:hAnsi="宋体" w:eastAsia="仿宋_GB2312" w:cs="宋体"/>
                <w:b w:val="0"/>
                <w:bCs/>
                <w:i w:val="0"/>
                <w:iCs w:val="0"/>
                <w:color w:val="auto"/>
                <w:spacing w:val="2"/>
                <w:kern w:val="2"/>
                <w:sz w:val="24"/>
                <w:szCs w:val="24"/>
                <w:highlight w:val="none"/>
                <w:u w:val="none"/>
                <w:lang w:val="en-US" w:eastAsia="zh-CN" w:bidi="ar-SA"/>
              </w:rPr>
              <w:t>本项</w:t>
            </w:r>
            <w:r>
              <w:rPr>
                <w:rFonts w:hint="eastAsia" w:ascii="宋体" w:hAnsi="宋体" w:eastAsia="宋体" w:cs="宋体"/>
                <w:b w:val="0"/>
                <w:bCs/>
                <w:i w:val="0"/>
                <w:iCs w:val="0"/>
                <w:color w:val="auto"/>
                <w:spacing w:val="2"/>
                <w:kern w:val="2"/>
                <w:sz w:val="24"/>
                <w:szCs w:val="24"/>
                <w:highlight w:val="none"/>
                <w:u w:val="none"/>
                <w:lang w:val="en-US" w:eastAsia="zh-CN" w:bidi="ar-SA"/>
              </w:rPr>
              <w:t>最高得1分</w:t>
            </w:r>
          </w:p>
          <w:p w14:paraId="1E95C2BE">
            <w:pPr>
              <w:keepNext w:val="0"/>
              <w:keepLines w:val="0"/>
              <w:pageBreakBefore w:val="0"/>
              <w:widowControl w:val="0"/>
              <w:kinsoku/>
              <w:wordWrap/>
              <w:overflowPunct/>
              <w:topLinePunct w:val="0"/>
              <w:autoSpaceDE/>
              <w:autoSpaceDN/>
              <w:bidi w:val="0"/>
              <w:adjustRightInd/>
              <w:spacing w:line="420" w:lineRule="exact"/>
              <w:ind w:left="0" w:leftChars="0" w:firstLine="490" w:firstLineChars="200"/>
              <w:jc w:val="left"/>
              <w:textAlignment w:val="auto"/>
              <w:rPr>
                <w:rFonts w:hint="eastAsia" w:ascii="宋体" w:hAnsi="宋体" w:eastAsia="宋体" w:cs="宋体"/>
                <w:b/>
                <w:color w:val="auto"/>
                <w:spacing w:val="2"/>
                <w:kern w:val="2"/>
                <w:sz w:val="24"/>
                <w:szCs w:val="24"/>
                <w:highlight w:val="none"/>
                <w:u w:val="none"/>
                <w:lang w:val="en-US" w:eastAsia="zh-CN" w:bidi="ar-SA"/>
              </w:rPr>
            </w:pPr>
            <w:r>
              <w:rPr>
                <w:rFonts w:hint="eastAsia" w:ascii="宋体" w:hAnsi="宋体" w:eastAsia="宋体" w:cs="宋体"/>
                <w:b/>
                <w:i w:val="0"/>
                <w:iCs w:val="0"/>
                <w:color w:val="auto"/>
                <w:spacing w:val="2"/>
                <w:kern w:val="2"/>
                <w:sz w:val="24"/>
                <w:szCs w:val="24"/>
                <w:highlight w:val="none"/>
                <w:u w:val="none"/>
                <w:lang w:val="en-US" w:eastAsia="zh-CN" w:bidi="ar-SA"/>
              </w:rPr>
              <w:t>投标人投标时须提供：1、人社部门或人社部门授权机构颁发的养老护理员职业资质证书或技能等级证</w:t>
            </w:r>
            <w:r>
              <w:rPr>
                <w:rFonts w:hint="eastAsia" w:ascii="宋体" w:hAnsi="宋体" w:eastAsia="宋体" w:cs="宋体"/>
                <w:b/>
                <w:color w:val="auto"/>
                <w:spacing w:val="2"/>
                <w:kern w:val="2"/>
                <w:sz w:val="24"/>
                <w:szCs w:val="24"/>
                <w:highlight w:val="none"/>
                <w:u w:val="none"/>
                <w:lang w:val="en-US" w:eastAsia="zh-CN" w:bidi="ar-SA"/>
              </w:rPr>
              <w:t>书扫描件。2、人社部和民政部颁发的社工师证书扫描件。3、应急管理部消防救援局 消防行业执业技能鉴定指导中心机构颁发的消防设施操作员证书扫描件。4、卫健部颁发的康复治疗师证书扫描件。5、健康管理师证书扫描件。6、心理咨询师证书扫描件。7、养老服务评估员证书扫描件。8、厨师、会计、营养师证书扫描件。未提供或提供的材料不符合要求的，相应分值不得分。）</w:t>
            </w:r>
          </w:p>
          <w:p w14:paraId="4A6212FF">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备注：</w:t>
            </w:r>
          </w:p>
          <w:p w14:paraId="0F26A9E0">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（1）同一人具有多种证书的，只计一次分，不累计得分。</w:t>
            </w:r>
          </w:p>
          <w:p w14:paraId="1135EAE1">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jc w:val="left"/>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（2）投标人投标时提供服务运营团队名单（格式附后）</w:t>
            </w:r>
          </w:p>
          <w:p w14:paraId="57210508">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3）上述拟投本项目的除项目负责人外的其他运营团队成员，投标人须承诺本项目签订合同前提供运营团队成员劳动合同或社保证明，为全日制员工依法缴纳社会保险，为计时制员工投保保额不低于20万元的意外伤害保险。投标人投标时</w:t>
            </w:r>
            <w:r>
              <w:rPr>
                <w:rFonts w:hint="eastAsia" w:ascii="宋体" w:hAnsi="宋体" w:eastAsia="宋体" w:cs="宋体"/>
                <w:b/>
                <w:color w:val="auto"/>
                <w:spacing w:val="0"/>
                <w:kern w:val="2"/>
                <w:sz w:val="24"/>
                <w:szCs w:val="24"/>
                <w:highlight w:val="none"/>
                <w:u w:val="none"/>
                <w:lang w:val="en-US" w:eastAsia="zh-CN"/>
              </w:rPr>
              <w:t>须</w:t>
            </w:r>
            <w:r>
              <w:rPr>
                <w:rFonts w:hint="eastAsia" w:ascii="宋体" w:hAnsi="宋体" w:eastAsia="宋体" w:cs="宋体"/>
                <w:b/>
                <w:color w:val="auto"/>
                <w:spacing w:val="0"/>
                <w:kern w:val="2"/>
                <w:sz w:val="24"/>
                <w:szCs w:val="24"/>
                <w:highlight w:val="none"/>
                <w:u w:val="none"/>
              </w:rPr>
              <w:t>提供承诺函</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详见投标文件格式</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，不提供或提供的承诺函不符合要求的，则运营团队评分项全部不得分。</w:t>
            </w:r>
          </w:p>
        </w:tc>
      </w:tr>
      <w:tr w14:paraId="2B429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56" w:type="dxa"/>
            <w:vMerge w:val="restart"/>
            <w:vAlign w:val="center"/>
          </w:tcPr>
          <w:p w14:paraId="24B10297">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eastAsia="zh-CN"/>
              </w:rPr>
            </w:pPr>
            <w:r>
              <w:rPr>
                <w:rFonts w:hint="eastAsia" w:ascii="宋体" w:hAnsi="宋体" w:eastAsia="宋体" w:cs="宋体"/>
                <w:b/>
                <w:color w:val="auto"/>
                <w:spacing w:val="0"/>
                <w:kern w:val="2"/>
                <w:sz w:val="24"/>
                <w:szCs w:val="24"/>
                <w:highlight w:val="none"/>
                <w:u w:val="none"/>
                <w:lang w:val="en-US" w:eastAsia="zh-CN"/>
              </w:rPr>
              <w:t>4</w:t>
            </w:r>
          </w:p>
        </w:tc>
        <w:tc>
          <w:tcPr>
            <w:tcW w:w="1575" w:type="dxa"/>
            <w:vAlign w:val="center"/>
          </w:tcPr>
          <w:p w14:paraId="19AD61DB">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p>
          <w:p w14:paraId="4AD6C3BE">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服务</w:t>
            </w:r>
          </w:p>
          <w:p w14:paraId="335C3654">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eastAsia="zh-CN"/>
              </w:rPr>
            </w:pPr>
            <w:r>
              <w:rPr>
                <w:rFonts w:hint="eastAsia" w:ascii="宋体" w:hAnsi="宋体" w:eastAsia="宋体" w:cs="宋体"/>
                <w:b/>
                <w:color w:val="auto"/>
                <w:spacing w:val="0"/>
                <w:kern w:val="2"/>
                <w:sz w:val="24"/>
                <w:szCs w:val="24"/>
                <w:highlight w:val="none"/>
                <w:u w:val="none"/>
              </w:rPr>
              <w:t>方案</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总体实施方案</w:t>
            </w:r>
            <w:r>
              <w:rPr>
                <w:rFonts w:hint="eastAsia" w:ascii="宋体" w:hAnsi="宋体" w:eastAsia="宋体" w:cs="宋体"/>
                <w:b/>
                <w:color w:val="auto"/>
                <w:spacing w:val="0"/>
                <w:kern w:val="2"/>
                <w:sz w:val="24"/>
                <w:szCs w:val="24"/>
                <w:highlight w:val="none"/>
                <w:u w:val="none"/>
                <w:lang w:eastAsia="zh-CN"/>
              </w:rPr>
              <w:t>）</w:t>
            </w:r>
          </w:p>
          <w:p w14:paraId="14F6812F">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4</w:t>
            </w:r>
            <w:r>
              <w:rPr>
                <w:rFonts w:hint="eastAsia" w:ascii="宋体" w:hAnsi="宋体" w:eastAsia="宋体" w:cs="宋体"/>
                <w:b/>
                <w:color w:val="auto"/>
                <w:spacing w:val="0"/>
                <w:kern w:val="2"/>
                <w:sz w:val="24"/>
                <w:szCs w:val="24"/>
                <w:highlight w:val="none"/>
                <w:u w:val="none"/>
              </w:rPr>
              <w:t>分）</w:t>
            </w:r>
          </w:p>
        </w:tc>
        <w:tc>
          <w:tcPr>
            <w:tcW w:w="6515" w:type="dxa"/>
            <w:vAlign w:val="center"/>
          </w:tcPr>
          <w:p w14:paraId="6ACB5836">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lang w:val="en-US" w:eastAsia="zh-CN"/>
              </w:rPr>
            </w:pPr>
            <w:r>
              <w:rPr>
                <w:rFonts w:hint="eastAsia" w:ascii="宋体" w:hAnsi="宋体" w:eastAsia="宋体" w:cs="宋体"/>
                <w:b/>
                <w:color w:val="auto"/>
                <w:spacing w:val="0"/>
                <w:kern w:val="2"/>
                <w:sz w:val="24"/>
                <w:szCs w:val="24"/>
                <w:highlight w:val="none"/>
                <w:u w:val="none"/>
              </w:rPr>
              <w:t>根据供应商针对本项目提供的总体实施方案进行综合评分，包括但不限于</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1</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运营管理服务</w:t>
            </w:r>
            <w:r>
              <w:rPr>
                <w:rFonts w:hint="eastAsia" w:ascii="宋体" w:hAnsi="宋体" w:eastAsia="宋体" w:cs="宋体"/>
                <w:b/>
                <w:color w:val="auto"/>
                <w:spacing w:val="0"/>
                <w:kern w:val="2"/>
                <w:sz w:val="24"/>
                <w:szCs w:val="24"/>
                <w:highlight w:val="none"/>
                <w:u w:val="none"/>
                <w:lang w:val="en-US" w:eastAsia="zh-CN"/>
              </w:rPr>
              <w:t>及</w:t>
            </w:r>
            <w:r>
              <w:rPr>
                <w:rFonts w:hint="eastAsia" w:ascii="宋体" w:hAnsi="宋体" w:eastAsia="宋体" w:cs="宋体"/>
                <w:b/>
                <w:color w:val="auto"/>
                <w:spacing w:val="0"/>
                <w:kern w:val="2"/>
                <w:sz w:val="24"/>
                <w:szCs w:val="24"/>
                <w:highlight w:val="none"/>
                <w:u w:val="none"/>
              </w:rPr>
              <w:t>管理模式</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2</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膳食服务</w:t>
            </w:r>
            <w:r>
              <w:rPr>
                <w:rFonts w:hint="eastAsia" w:ascii="宋体" w:hAnsi="宋体" w:eastAsia="宋体" w:cs="宋体"/>
                <w:b/>
                <w:color w:val="auto"/>
                <w:spacing w:val="0"/>
                <w:kern w:val="2"/>
                <w:sz w:val="24"/>
                <w:szCs w:val="24"/>
                <w:highlight w:val="none"/>
                <w:u w:val="none"/>
                <w:lang w:val="en-US" w:eastAsia="zh-CN"/>
              </w:rPr>
              <w:t>及</w:t>
            </w:r>
            <w:r>
              <w:rPr>
                <w:rFonts w:hint="eastAsia" w:ascii="宋体" w:hAnsi="宋体" w:eastAsia="宋体" w:cs="宋体"/>
                <w:b/>
                <w:color w:val="auto"/>
                <w:spacing w:val="0"/>
                <w:kern w:val="2"/>
                <w:sz w:val="24"/>
                <w:szCs w:val="24"/>
                <w:highlight w:val="none"/>
                <w:u w:val="none"/>
              </w:rPr>
              <w:t>医疗保健保障等，根据方案的完整明确、针对性</w:t>
            </w:r>
            <w:r>
              <w:rPr>
                <w:rFonts w:hint="eastAsia" w:ascii="宋体" w:hAnsi="宋体" w:eastAsia="宋体" w:cs="宋体"/>
                <w:b/>
                <w:color w:val="auto"/>
                <w:spacing w:val="0"/>
                <w:kern w:val="2"/>
                <w:sz w:val="24"/>
                <w:szCs w:val="24"/>
                <w:highlight w:val="none"/>
                <w:u w:val="none"/>
                <w:lang w:val="en-US" w:eastAsia="zh-CN"/>
              </w:rPr>
              <w:t>进行评分。</w:t>
            </w:r>
          </w:p>
          <w:p w14:paraId="7665E34A">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lang w:val="en-US" w:eastAsia="zh-CN"/>
              </w:rPr>
              <w:t>要求方案细致完整、针对性强、措施有力，方案的贯彻应能满足本项目各项服务要求。方案内容描述全面合理符合采购需求的得4分，每有一项评分点内容缺失的扣2分;每有一处内容存在缺陷或不满足要求的扣0.5分，扣完为止，未提供方案不得分(注：缺陷或不满足指:内容不全面、与实际需求不符、内容不清晰或交叉混乱、套用其他项目方案、有规范性或常识性错误、有逻辑漏洞、存在无关的事项、凭空编造、存在不可能实现的夸大情形等任意一种情形)。</w:t>
            </w:r>
          </w:p>
        </w:tc>
      </w:tr>
      <w:tr w14:paraId="40D01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7" w:hRule="atLeast"/>
          <w:jc w:val="center"/>
        </w:trPr>
        <w:tc>
          <w:tcPr>
            <w:tcW w:w="756" w:type="dxa"/>
            <w:vMerge w:val="continue"/>
            <w:vAlign w:val="center"/>
          </w:tcPr>
          <w:p w14:paraId="420E5437">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p>
        </w:tc>
        <w:tc>
          <w:tcPr>
            <w:tcW w:w="1575" w:type="dxa"/>
            <w:vAlign w:val="center"/>
          </w:tcPr>
          <w:p w14:paraId="47D9F1A1">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服务</w:t>
            </w:r>
          </w:p>
          <w:p w14:paraId="1EE18975">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eastAsia="zh-CN"/>
              </w:rPr>
            </w:pPr>
            <w:r>
              <w:rPr>
                <w:rFonts w:hint="eastAsia" w:ascii="宋体" w:hAnsi="宋体" w:eastAsia="宋体" w:cs="宋体"/>
                <w:b/>
                <w:color w:val="auto"/>
                <w:spacing w:val="0"/>
                <w:kern w:val="2"/>
                <w:sz w:val="24"/>
                <w:szCs w:val="24"/>
                <w:highlight w:val="none"/>
                <w:u w:val="none"/>
              </w:rPr>
              <w:t>方案</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集中照顾方案</w:t>
            </w:r>
            <w:r>
              <w:rPr>
                <w:rFonts w:hint="eastAsia" w:ascii="宋体" w:hAnsi="宋体" w:eastAsia="宋体" w:cs="宋体"/>
                <w:b/>
                <w:color w:val="auto"/>
                <w:spacing w:val="0"/>
                <w:kern w:val="2"/>
                <w:sz w:val="24"/>
                <w:szCs w:val="24"/>
                <w:highlight w:val="none"/>
                <w:u w:val="none"/>
                <w:lang w:eastAsia="zh-CN"/>
              </w:rPr>
              <w:t>）</w:t>
            </w:r>
          </w:p>
          <w:p w14:paraId="1333211B">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8</w:t>
            </w:r>
            <w:r>
              <w:rPr>
                <w:rFonts w:hint="eastAsia" w:ascii="宋体" w:hAnsi="宋体" w:eastAsia="宋体" w:cs="宋体"/>
                <w:b/>
                <w:color w:val="auto"/>
                <w:spacing w:val="0"/>
                <w:kern w:val="2"/>
                <w:sz w:val="24"/>
                <w:szCs w:val="24"/>
                <w:highlight w:val="none"/>
                <w:u w:val="none"/>
              </w:rPr>
              <w:t>分）</w:t>
            </w:r>
          </w:p>
        </w:tc>
        <w:tc>
          <w:tcPr>
            <w:tcW w:w="6515" w:type="dxa"/>
            <w:vAlign w:val="center"/>
          </w:tcPr>
          <w:p w14:paraId="231D72F6">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根据供应商针对本项目提供的集中照顾方案（包括但不限于：</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1</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集中照护老人的生活照料、</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2</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康复护理、</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3</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文化教育、</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4</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娱乐活动等方面的计划安排方案进行综合打分）根据方案的完整明确、针对性进行评分。</w:t>
            </w:r>
          </w:p>
          <w:p w14:paraId="5E397C43">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lang w:val="en-US" w:eastAsia="zh-CN"/>
              </w:rPr>
              <w:t>要求方案细致完整、针对性强、措施有力，方案的贯彻应能满足本项目各项服务要求。方案内容描述全面合理符合采购需求的得8分，每有一项评分点内容缺失的扣2分;每有一处内容存在缺陷或不满足要求的扣0.5分，扣完为止，未提供方案不得分(注：缺陷或不满足指:内容不全面、与实际需求不符、内容不清晰或交叉混乱、套用其他项目方案、有规范性或常识性错误、有逻辑漏洞、存在无关的事项、凭空编造、存在不可能实现的夸大情形等任意一种情形)。</w:t>
            </w:r>
          </w:p>
        </w:tc>
      </w:tr>
      <w:tr w14:paraId="4B667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7" w:hRule="atLeast"/>
          <w:jc w:val="center"/>
        </w:trPr>
        <w:tc>
          <w:tcPr>
            <w:tcW w:w="756" w:type="dxa"/>
            <w:vMerge w:val="continue"/>
            <w:vAlign w:val="center"/>
          </w:tcPr>
          <w:p w14:paraId="649377D0">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p>
        </w:tc>
        <w:tc>
          <w:tcPr>
            <w:tcW w:w="1575" w:type="dxa"/>
            <w:vAlign w:val="center"/>
          </w:tcPr>
          <w:p w14:paraId="303935BF">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服务</w:t>
            </w:r>
          </w:p>
          <w:p w14:paraId="276E3C25">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eastAsia="zh-CN"/>
              </w:rPr>
            </w:pPr>
            <w:r>
              <w:rPr>
                <w:rFonts w:hint="eastAsia" w:ascii="宋体" w:hAnsi="宋体" w:eastAsia="宋体" w:cs="宋体"/>
                <w:b/>
                <w:color w:val="auto"/>
                <w:spacing w:val="0"/>
                <w:kern w:val="2"/>
                <w:sz w:val="24"/>
                <w:szCs w:val="24"/>
                <w:highlight w:val="none"/>
                <w:u w:val="none"/>
              </w:rPr>
              <w:t>方案</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团队管理方案</w:t>
            </w:r>
            <w:r>
              <w:rPr>
                <w:rFonts w:hint="eastAsia" w:ascii="宋体" w:hAnsi="宋体" w:eastAsia="宋体" w:cs="宋体"/>
                <w:b/>
                <w:color w:val="auto"/>
                <w:spacing w:val="0"/>
                <w:kern w:val="2"/>
                <w:sz w:val="24"/>
                <w:szCs w:val="24"/>
                <w:highlight w:val="none"/>
                <w:u w:val="none"/>
                <w:lang w:eastAsia="zh-CN"/>
              </w:rPr>
              <w:t>）</w:t>
            </w:r>
          </w:p>
          <w:p w14:paraId="6D554E51">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8</w:t>
            </w:r>
            <w:r>
              <w:rPr>
                <w:rFonts w:hint="eastAsia" w:ascii="宋体" w:hAnsi="宋体" w:eastAsia="宋体" w:cs="宋体"/>
                <w:b/>
                <w:color w:val="auto"/>
                <w:spacing w:val="0"/>
                <w:kern w:val="2"/>
                <w:sz w:val="24"/>
                <w:szCs w:val="24"/>
                <w:highlight w:val="none"/>
                <w:u w:val="none"/>
              </w:rPr>
              <w:t>分）</w:t>
            </w:r>
          </w:p>
        </w:tc>
        <w:tc>
          <w:tcPr>
            <w:tcW w:w="6515" w:type="dxa"/>
            <w:vAlign w:val="center"/>
          </w:tcPr>
          <w:p w14:paraId="3B23B1D2">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根据供应商针对本项目提供的团队管理方案（包括但不限于：</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1</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组织架构、</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2</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部门职能、</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3</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岗位职能、</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4</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人员绩效考核等内容）根据方案的完整明确、针对性，可行性进行评分。</w:t>
            </w:r>
          </w:p>
          <w:p w14:paraId="4B5CB6EA">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lang w:val="en-US" w:eastAsia="zh-CN"/>
              </w:rPr>
              <w:t>要求方案细致完整、针对性强、措施有力，方案的贯彻应能满足本项目各项服务要求。方案内容描述全面合理符合采购需求的得8分，每有一项评分点内容缺失的扣2分;每有一处内容存在缺陷或不满足要求的扣0.5分，扣完为止，未提供方案不得分(注：缺陷或不满足指:内容不全面、与实际需求不符、内容不清晰或交叉混乱、套用其他项目方案、有规范性或常识性错误、有逻辑漏洞、存在无关的事项、凭空编造、存在不可能实现的夸大情形等任意一种情形)。</w:t>
            </w:r>
          </w:p>
        </w:tc>
      </w:tr>
      <w:tr w14:paraId="7604C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7" w:hRule="atLeast"/>
          <w:jc w:val="center"/>
        </w:trPr>
        <w:tc>
          <w:tcPr>
            <w:tcW w:w="756" w:type="dxa"/>
            <w:vMerge w:val="continue"/>
            <w:vAlign w:val="center"/>
          </w:tcPr>
          <w:p w14:paraId="08596BB9">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p>
        </w:tc>
        <w:tc>
          <w:tcPr>
            <w:tcW w:w="1575" w:type="dxa"/>
            <w:vAlign w:val="center"/>
          </w:tcPr>
          <w:p w14:paraId="2A7F94C1">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服务</w:t>
            </w:r>
          </w:p>
          <w:p w14:paraId="437D5442">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eastAsia="zh-CN"/>
              </w:rPr>
            </w:pPr>
            <w:r>
              <w:rPr>
                <w:rFonts w:hint="eastAsia" w:ascii="宋体" w:hAnsi="宋体" w:eastAsia="宋体" w:cs="宋体"/>
                <w:b/>
                <w:color w:val="auto"/>
                <w:spacing w:val="0"/>
                <w:kern w:val="2"/>
                <w:sz w:val="24"/>
                <w:szCs w:val="24"/>
                <w:highlight w:val="none"/>
                <w:u w:val="none"/>
              </w:rPr>
              <w:t>方案</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应急预案</w:t>
            </w:r>
            <w:r>
              <w:rPr>
                <w:rFonts w:hint="eastAsia" w:ascii="宋体" w:hAnsi="宋体" w:eastAsia="宋体" w:cs="宋体"/>
                <w:b/>
                <w:color w:val="auto"/>
                <w:spacing w:val="0"/>
                <w:kern w:val="2"/>
                <w:sz w:val="24"/>
                <w:szCs w:val="24"/>
                <w:highlight w:val="none"/>
                <w:u w:val="none"/>
                <w:lang w:eastAsia="zh-CN"/>
              </w:rPr>
              <w:t>）</w:t>
            </w:r>
          </w:p>
          <w:p w14:paraId="1317FC99">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w:t>
            </w:r>
            <w:r>
              <w:rPr>
                <w:rFonts w:hint="eastAsia" w:ascii="宋体" w:hAnsi="宋体" w:eastAsia="宋体" w:cs="宋体"/>
                <w:b/>
                <w:color w:val="auto"/>
                <w:spacing w:val="0"/>
                <w:kern w:val="2"/>
                <w:sz w:val="24"/>
                <w:szCs w:val="24"/>
                <w:highlight w:val="none"/>
                <w:u w:val="none"/>
                <w:lang w:val="en-US" w:eastAsia="zh-CN"/>
              </w:rPr>
              <w:t>8</w:t>
            </w:r>
            <w:r>
              <w:rPr>
                <w:rFonts w:hint="eastAsia" w:ascii="宋体" w:hAnsi="宋体" w:eastAsia="宋体" w:cs="宋体"/>
                <w:b/>
                <w:color w:val="auto"/>
                <w:spacing w:val="0"/>
                <w:kern w:val="2"/>
                <w:sz w:val="24"/>
                <w:szCs w:val="24"/>
                <w:highlight w:val="none"/>
                <w:u w:val="none"/>
              </w:rPr>
              <w:t>分）</w:t>
            </w:r>
          </w:p>
        </w:tc>
        <w:tc>
          <w:tcPr>
            <w:tcW w:w="6515" w:type="dxa"/>
            <w:vAlign w:val="center"/>
          </w:tcPr>
          <w:p w14:paraId="7F50E1F1">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rPr>
              <w:t>根据供应商针对本项目的应急预案（包括但不限于：机构内常见突发意外的应急预案，每个预案包含</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1</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处理流程图、</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2</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预防措施、</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3</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应急措施</w:t>
            </w:r>
            <w:r>
              <w:rPr>
                <w:rFonts w:hint="eastAsia" w:ascii="宋体" w:hAnsi="宋体" w:eastAsia="宋体" w:cs="宋体"/>
                <w:b/>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lang w:val="en-US" w:eastAsia="zh-CN"/>
              </w:rPr>
              <w:t>4</w:t>
            </w:r>
            <w:r>
              <w:rPr>
                <w:rFonts w:hint="eastAsia" w:ascii="宋体" w:hAnsi="宋体" w:eastAsia="宋体" w:cs="宋体"/>
                <w:b/>
                <w:color w:val="auto"/>
                <w:spacing w:val="0"/>
                <w:kern w:val="2"/>
                <w:sz w:val="24"/>
                <w:szCs w:val="24"/>
                <w:highlight w:val="none"/>
                <w:u w:val="none"/>
                <w:lang w:eastAsia="zh-CN"/>
              </w:rPr>
              <w:t>）事后复盘与整改保障</w:t>
            </w:r>
            <w:r>
              <w:rPr>
                <w:rFonts w:hint="eastAsia" w:ascii="宋体" w:hAnsi="宋体" w:eastAsia="宋体" w:cs="宋体"/>
                <w:b/>
                <w:color w:val="auto"/>
                <w:spacing w:val="0"/>
                <w:kern w:val="2"/>
                <w:sz w:val="24"/>
                <w:szCs w:val="24"/>
                <w:highlight w:val="none"/>
                <w:u w:val="none"/>
              </w:rPr>
              <w:t>等内容）根据方案科学、严密、合理、针对性，可行性进行评分。</w:t>
            </w:r>
          </w:p>
          <w:p w14:paraId="1AE4A6D7">
            <w:pPr>
              <w:keepNext w:val="0"/>
              <w:keepLines w:val="0"/>
              <w:pageBreakBefore w:val="0"/>
              <w:widowControl w:val="0"/>
              <w:kinsoku/>
              <w:wordWrap/>
              <w:overflowPunct/>
              <w:topLinePunct w:val="0"/>
              <w:autoSpaceDE/>
              <w:autoSpaceDN/>
              <w:bidi w:val="0"/>
              <w:adjustRightIn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color w:val="auto"/>
                <w:spacing w:val="0"/>
                <w:kern w:val="2"/>
                <w:sz w:val="24"/>
                <w:szCs w:val="24"/>
                <w:highlight w:val="none"/>
                <w:u w:val="none"/>
                <w:lang w:val="en-US" w:eastAsia="zh-CN"/>
              </w:rPr>
              <w:t>要求方案细致完整、针对性强、措施有力，方案的贯彻应能满足本项目各项服务要求。方案内容描述全面合理符合采购需求的得8分，每有一项评分点内容缺失的扣2分;每有一处内容存在缺陷或不满足要求的扣0.5分，扣完为止，未提供方案不得分(注：缺陷或不满足指:内容不全面、与实际需求不符、内容不清晰或交叉混乱、套用其他项目方案、有规范性或常识性错误、有逻辑漏洞、存在无关的事项、凭空编造、存在不可能实现的夸大情形等任意一种情形)。</w:t>
            </w:r>
          </w:p>
        </w:tc>
      </w:tr>
      <w:tr w14:paraId="2F9E9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756" w:type="dxa"/>
            <w:vAlign w:val="center"/>
          </w:tcPr>
          <w:p w14:paraId="6FB665AD">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center"/>
              <w:textAlignment w:val="auto"/>
              <w:rPr>
                <w:rFonts w:hint="eastAsia" w:ascii="宋体" w:hAnsi="宋体" w:eastAsia="宋体" w:cs="宋体"/>
                <w:b/>
                <w:color w:val="auto"/>
                <w:spacing w:val="0"/>
                <w:kern w:val="2"/>
                <w:sz w:val="24"/>
                <w:szCs w:val="24"/>
                <w:highlight w:val="none"/>
                <w:u w:val="none"/>
                <w:lang w:val="en-US" w:eastAsia="zh-CN"/>
              </w:rPr>
            </w:pPr>
            <w:r>
              <w:rPr>
                <w:rFonts w:hint="eastAsia" w:ascii="宋体" w:hAnsi="宋体" w:eastAsia="宋体" w:cs="宋体"/>
                <w:b/>
                <w:color w:val="auto"/>
                <w:spacing w:val="0"/>
                <w:kern w:val="2"/>
                <w:sz w:val="24"/>
                <w:szCs w:val="24"/>
                <w:highlight w:val="none"/>
                <w:u w:val="none"/>
                <w:lang w:val="en-US" w:eastAsia="zh-CN"/>
              </w:rPr>
              <w:t>5</w:t>
            </w:r>
          </w:p>
        </w:tc>
        <w:tc>
          <w:tcPr>
            <w:tcW w:w="1575" w:type="dxa"/>
            <w:vAlign w:val="center"/>
          </w:tcPr>
          <w:p w14:paraId="7CF336C3">
            <w:pPr>
              <w:keepNext w:val="0"/>
              <w:keepLines w:val="0"/>
              <w:pageBreakBefore w:val="0"/>
              <w:widowControl w:val="0"/>
              <w:kinsoku/>
              <w:wordWrap/>
              <w:overflowPunct/>
              <w:topLinePunct w:val="0"/>
              <w:autoSpaceDE/>
              <w:autoSpaceDN/>
              <w:bidi w:val="0"/>
              <w:adjustRightInd/>
              <w:snapToGrid/>
              <w:spacing w:line="420" w:lineRule="exact"/>
              <w:ind w:left="0" w:leftChars="0" w:firstLine="0" w:firstLineChars="0"/>
              <w:jc w:val="left"/>
              <w:textAlignment w:val="auto"/>
              <w:rPr>
                <w:rFonts w:hint="eastAsia" w:ascii="宋体" w:hAnsi="宋体" w:eastAsia="宋体" w:cs="宋体"/>
                <w:b/>
                <w:color w:val="auto"/>
                <w:spacing w:val="0"/>
                <w:kern w:val="2"/>
                <w:sz w:val="24"/>
                <w:szCs w:val="24"/>
                <w:highlight w:val="none"/>
                <w:u w:val="none"/>
                <w:lang w:val="en-US" w:eastAsia="zh-CN"/>
              </w:rPr>
            </w:pPr>
            <w:r>
              <w:rPr>
                <w:rFonts w:hint="eastAsia" w:ascii="宋体" w:hAnsi="宋体" w:eastAsia="宋体" w:cs="宋体"/>
                <w:b/>
                <w:color w:val="auto"/>
                <w:spacing w:val="0"/>
                <w:kern w:val="2"/>
                <w:sz w:val="24"/>
                <w:szCs w:val="24"/>
                <w:highlight w:val="none"/>
                <w:u w:val="none"/>
                <w:lang w:val="en-US" w:eastAsia="zh-CN"/>
              </w:rPr>
              <w:t>履约信用（10分）</w:t>
            </w:r>
          </w:p>
        </w:tc>
        <w:tc>
          <w:tcPr>
            <w:tcW w:w="6515" w:type="dxa"/>
            <w:vAlign w:val="center"/>
          </w:tcPr>
          <w:p w14:paraId="5CE683A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pacing w:val="0"/>
                <w:kern w:val="2"/>
                <w:sz w:val="24"/>
                <w:szCs w:val="24"/>
                <w:highlight w:val="none"/>
                <w:u w:val="none"/>
              </w:rPr>
            </w:pPr>
            <w:r>
              <w:rPr>
                <w:rFonts w:hint="eastAsia" w:ascii="宋体" w:hAnsi="宋体" w:eastAsia="宋体" w:cs="宋体"/>
                <w:color w:val="auto"/>
                <w:spacing w:val="0"/>
                <w:kern w:val="2"/>
                <w:sz w:val="24"/>
                <w:szCs w:val="24"/>
                <w:highlight w:val="none"/>
                <w:u w:val="none"/>
              </w:rPr>
              <w:t>投标人自202</w:t>
            </w:r>
            <w:r>
              <w:rPr>
                <w:rFonts w:hint="eastAsia" w:ascii="宋体" w:hAnsi="宋体" w:eastAsia="宋体" w:cs="宋体"/>
                <w:color w:val="auto"/>
                <w:spacing w:val="0"/>
                <w:kern w:val="2"/>
                <w:sz w:val="24"/>
                <w:szCs w:val="24"/>
                <w:highlight w:val="none"/>
                <w:u w:val="none"/>
                <w:lang w:val="en-US" w:eastAsia="zh-CN"/>
              </w:rPr>
              <w:t>1</w:t>
            </w:r>
            <w:r>
              <w:rPr>
                <w:rFonts w:hint="eastAsia" w:ascii="宋体" w:hAnsi="宋体" w:eastAsia="宋体" w:cs="宋体"/>
                <w:color w:val="auto"/>
                <w:spacing w:val="0"/>
                <w:kern w:val="2"/>
                <w:sz w:val="24"/>
                <w:szCs w:val="24"/>
                <w:highlight w:val="none"/>
                <w:u w:val="none"/>
              </w:rPr>
              <w:t>年1月1日以来</w:t>
            </w:r>
            <w:r>
              <w:rPr>
                <w:rFonts w:hint="eastAsia" w:ascii="宋体" w:hAnsi="宋体" w:eastAsia="宋体" w:cs="宋体"/>
                <w:color w:val="auto"/>
                <w:spacing w:val="0"/>
                <w:kern w:val="2"/>
                <w:sz w:val="24"/>
                <w:szCs w:val="24"/>
                <w:highlight w:val="none"/>
                <w:u w:val="none"/>
                <w:lang w:eastAsia="zh-CN"/>
              </w:rPr>
              <w:t>（</w:t>
            </w:r>
            <w:r>
              <w:rPr>
                <w:rFonts w:hint="eastAsia" w:ascii="宋体" w:hAnsi="宋体" w:eastAsia="宋体" w:cs="宋体"/>
                <w:color w:val="auto"/>
                <w:spacing w:val="0"/>
                <w:kern w:val="2"/>
                <w:sz w:val="24"/>
                <w:szCs w:val="24"/>
                <w:highlight w:val="none"/>
                <w:u w:val="none"/>
                <w:lang w:val="en-US" w:eastAsia="zh-CN"/>
              </w:rPr>
              <w:t>以被有关部门通报及公告公示时间为准</w:t>
            </w:r>
            <w:r>
              <w:rPr>
                <w:rFonts w:hint="eastAsia" w:ascii="宋体" w:hAnsi="宋体" w:eastAsia="宋体" w:cs="宋体"/>
                <w:color w:val="auto"/>
                <w:spacing w:val="0"/>
                <w:kern w:val="2"/>
                <w:sz w:val="24"/>
                <w:szCs w:val="24"/>
                <w:highlight w:val="none"/>
                <w:u w:val="none"/>
                <w:lang w:eastAsia="zh-CN"/>
              </w:rPr>
              <w:t>）</w:t>
            </w:r>
            <w:r>
              <w:rPr>
                <w:rFonts w:hint="eastAsia" w:ascii="宋体" w:hAnsi="宋体" w:eastAsia="宋体" w:cs="宋体"/>
                <w:color w:val="auto"/>
                <w:spacing w:val="0"/>
                <w:kern w:val="2"/>
                <w:sz w:val="24"/>
                <w:szCs w:val="24"/>
                <w:highlight w:val="none"/>
                <w:u w:val="none"/>
              </w:rPr>
              <w:t>无任何行政处罚</w:t>
            </w:r>
            <w:r>
              <w:rPr>
                <w:rFonts w:hint="eastAsia" w:ascii="宋体" w:hAnsi="宋体" w:eastAsia="宋体" w:cs="宋体"/>
                <w:color w:val="auto"/>
                <w:spacing w:val="0"/>
                <w:kern w:val="2"/>
                <w:sz w:val="24"/>
                <w:szCs w:val="24"/>
                <w:highlight w:val="none"/>
                <w:u w:val="none"/>
                <w:lang w:val="en-US" w:eastAsia="zh-CN"/>
              </w:rPr>
              <w:t>、不良行为被通报记录、</w:t>
            </w:r>
            <w:r>
              <w:rPr>
                <w:rFonts w:hint="eastAsia" w:ascii="宋体" w:hAnsi="宋体" w:eastAsia="宋体" w:cs="宋体"/>
                <w:b w:val="0"/>
                <w:bCs w:val="0"/>
                <w:color w:val="auto"/>
                <w:spacing w:val="0"/>
                <w:kern w:val="2"/>
                <w:sz w:val="24"/>
                <w:szCs w:val="24"/>
                <w:highlight w:val="none"/>
                <w:u w:val="none"/>
                <w:lang w:val="en-US" w:eastAsia="zh-CN"/>
              </w:rPr>
              <w:t>未发生重大安全事故（指人身伤亡、重大火灾、食品安全事故等）</w:t>
            </w:r>
            <w:r>
              <w:rPr>
                <w:rFonts w:hint="eastAsia" w:ascii="宋体" w:hAnsi="宋体" w:eastAsia="宋体" w:cs="宋体"/>
                <w:color w:val="auto"/>
                <w:spacing w:val="0"/>
                <w:kern w:val="2"/>
                <w:sz w:val="24"/>
                <w:szCs w:val="24"/>
                <w:highlight w:val="none"/>
                <w:u w:val="none"/>
              </w:rPr>
              <w:t>得</w:t>
            </w:r>
            <w:r>
              <w:rPr>
                <w:rFonts w:hint="eastAsia" w:ascii="宋体" w:hAnsi="宋体" w:eastAsia="宋体" w:cs="宋体"/>
                <w:color w:val="auto"/>
                <w:spacing w:val="0"/>
                <w:kern w:val="2"/>
                <w:sz w:val="24"/>
                <w:szCs w:val="24"/>
                <w:highlight w:val="none"/>
                <w:u w:val="none"/>
                <w:lang w:val="en-US" w:eastAsia="zh-CN"/>
              </w:rPr>
              <w:t>10</w:t>
            </w:r>
            <w:r>
              <w:rPr>
                <w:rFonts w:hint="eastAsia" w:ascii="宋体" w:hAnsi="宋体" w:eastAsia="宋体" w:cs="宋体"/>
                <w:color w:val="auto"/>
                <w:spacing w:val="0"/>
                <w:kern w:val="2"/>
                <w:sz w:val="24"/>
                <w:szCs w:val="24"/>
                <w:highlight w:val="none"/>
                <w:u w:val="none"/>
              </w:rPr>
              <w:t>分</w:t>
            </w:r>
            <w:r>
              <w:rPr>
                <w:rFonts w:hint="eastAsia" w:ascii="宋体" w:hAnsi="宋体" w:eastAsia="宋体" w:cs="宋体"/>
                <w:color w:val="auto"/>
                <w:spacing w:val="0"/>
                <w:kern w:val="2"/>
                <w:sz w:val="24"/>
                <w:szCs w:val="24"/>
                <w:highlight w:val="none"/>
                <w:u w:val="none"/>
                <w:lang w:eastAsia="zh-CN"/>
              </w:rPr>
              <w:t>，</w:t>
            </w:r>
            <w:r>
              <w:rPr>
                <w:rFonts w:hint="eastAsia" w:ascii="宋体" w:hAnsi="宋体" w:eastAsia="宋体" w:cs="宋体"/>
                <w:b/>
                <w:color w:val="auto"/>
                <w:spacing w:val="0"/>
                <w:kern w:val="2"/>
                <w:sz w:val="24"/>
                <w:szCs w:val="24"/>
                <w:highlight w:val="none"/>
                <w:u w:val="none"/>
              </w:rPr>
              <w:t>本项最高得</w:t>
            </w:r>
            <w:r>
              <w:rPr>
                <w:rFonts w:hint="eastAsia" w:ascii="宋体" w:hAnsi="宋体" w:eastAsia="宋体" w:cs="宋体"/>
                <w:b/>
                <w:color w:val="auto"/>
                <w:spacing w:val="0"/>
                <w:kern w:val="2"/>
                <w:sz w:val="24"/>
                <w:szCs w:val="24"/>
                <w:highlight w:val="none"/>
                <w:u w:val="none"/>
                <w:lang w:val="en-US" w:eastAsia="zh-CN"/>
              </w:rPr>
              <w:t>10</w:t>
            </w:r>
            <w:r>
              <w:rPr>
                <w:rFonts w:hint="eastAsia" w:ascii="宋体" w:hAnsi="宋体" w:eastAsia="宋体" w:cs="宋体"/>
                <w:b/>
                <w:color w:val="auto"/>
                <w:spacing w:val="0"/>
                <w:kern w:val="2"/>
                <w:sz w:val="24"/>
                <w:szCs w:val="24"/>
                <w:highlight w:val="none"/>
                <w:u w:val="none"/>
              </w:rPr>
              <w:t>分</w:t>
            </w:r>
            <w:r>
              <w:rPr>
                <w:rFonts w:hint="eastAsia" w:ascii="宋体" w:hAnsi="宋体" w:eastAsia="宋体" w:cs="宋体"/>
                <w:b/>
                <w:color w:val="auto"/>
                <w:spacing w:val="0"/>
                <w:kern w:val="2"/>
                <w:sz w:val="24"/>
                <w:szCs w:val="24"/>
                <w:highlight w:val="none"/>
                <w:u w:val="none"/>
                <w:lang w:eastAsia="zh-CN"/>
              </w:rPr>
              <w:t>。</w:t>
            </w:r>
          </w:p>
          <w:p w14:paraId="72DF3B20">
            <w:pPr>
              <w:keepNext w:val="0"/>
              <w:keepLines w:val="0"/>
              <w:pageBreakBefore w:val="0"/>
              <w:widowControl w:val="0"/>
              <w:numPr>
                <w:ilvl w:val="0"/>
                <w:numId w:val="0"/>
              </w:numPr>
              <w:kinsoku/>
              <w:wordWrap w:val="0"/>
              <w:overflowPunct/>
              <w:topLinePunct w:val="0"/>
              <w:autoSpaceDE/>
              <w:autoSpaceDN/>
              <w:bidi w:val="0"/>
              <w:adjustRightInd/>
              <w:snapToGrid/>
              <w:spacing w:line="420" w:lineRule="exact"/>
              <w:ind w:left="0" w:leftChars="0" w:firstLine="482" w:firstLineChars="200"/>
              <w:textAlignment w:val="auto"/>
              <w:rPr>
                <w:rFonts w:hint="eastAsia" w:ascii="宋体" w:hAnsi="宋体" w:eastAsia="宋体" w:cs="宋体"/>
                <w:b/>
                <w:color w:val="auto"/>
                <w:spacing w:val="0"/>
                <w:kern w:val="2"/>
                <w:sz w:val="24"/>
                <w:szCs w:val="24"/>
                <w:highlight w:val="none"/>
                <w:u w:val="none"/>
              </w:rPr>
            </w:pPr>
            <w:r>
              <w:rPr>
                <w:rFonts w:hint="eastAsia" w:ascii="宋体" w:hAnsi="宋体" w:eastAsia="宋体" w:cs="宋体"/>
                <w:b/>
                <w:bCs/>
                <w:color w:val="auto"/>
                <w:spacing w:val="0"/>
                <w:kern w:val="2"/>
                <w:sz w:val="24"/>
                <w:szCs w:val="24"/>
                <w:highlight w:val="none"/>
                <w:u w:val="none"/>
                <w:lang w:val="en-US" w:eastAsia="zh-CN"/>
              </w:rPr>
              <w:t>注：投标人须提供信用中国系统（www.creditchina.gov.cn）查询截图、关于不存在重大安全事故责任和严重失信记录的承诺书（格式自拟），未提供不得分。如评标时现场查询发现有重大安全事故责任或严重失信记录的不作中标候选人推荐，查询平台包括但不限于信用中国、民政一体化政务服务平台行政处罚公告名单（https://chinanpo.mca.gov.cn/xzcfgg）等。如中标后查实有上述重大安全事故责任或严重失信记录但未如实披露的，取消中标资格、上报行业主管部门、列入失信黑名单，限制其1–3年参与本地区同类项目投标。涉嫌弄虚作假、骗取中标的，依法移送行政或司法机关处理。</w:t>
            </w:r>
          </w:p>
        </w:tc>
      </w:tr>
    </w:tbl>
    <w:p w14:paraId="6F476738">
      <w:pPr>
        <w:keepNext w:val="0"/>
        <w:keepLines w:val="0"/>
        <w:pageBreakBefore w:val="0"/>
        <w:kinsoku/>
        <w:wordWrap/>
        <w:overflowPunct/>
        <w:topLinePunct w:val="0"/>
        <w:autoSpaceDE/>
        <w:autoSpaceDN/>
        <w:bidi w:val="0"/>
        <w:adjustRightInd/>
        <w:snapToGrid/>
        <w:spacing w:line="420" w:lineRule="exact"/>
        <w:ind w:left="0" w:firstLine="482" w:firstLineChars="200"/>
        <w:textAlignment w:val="auto"/>
        <w:rPr>
          <w:rFonts w:ascii="宋体" w:hAnsi="宋体" w:cs="宋体"/>
          <w:b/>
          <w:color w:val="auto"/>
          <w:kern w:val="0"/>
          <w:sz w:val="24"/>
          <w:szCs w:val="24"/>
          <w:highlight w:val="none"/>
        </w:rPr>
      </w:pPr>
      <w:r>
        <w:rPr>
          <w:rFonts w:hint="eastAsia" w:ascii="宋体" w:hAnsi="宋体" w:cs="宋体"/>
          <w:b/>
          <w:color w:val="auto"/>
          <w:sz w:val="24"/>
          <w:szCs w:val="24"/>
          <w:highlight w:val="none"/>
        </w:rPr>
        <w:t>注：1</w:t>
      </w:r>
      <w:r>
        <w:rPr>
          <w:rFonts w:hint="eastAsia" w:ascii="宋体" w:hAnsi="宋体" w:cs="宋体"/>
          <w:b/>
          <w:color w:val="auto"/>
          <w:kern w:val="0"/>
          <w:sz w:val="24"/>
          <w:szCs w:val="24"/>
          <w:highlight w:val="none"/>
        </w:rPr>
        <w:t>、评分标准中设区间得分项的，其得分均包括区间两端值，以0.1分为一个计分单元。</w:t>
      </w:r>
    </w:p>
    <w:p w14:paraId="3E34942B">
      <w:pPr>
        <w:pStyle w:val="100"/>
        <w:keepNext w:val="0"/>
        <w:keepLines w:val="0"/>
        <w:pageBreakBefore w:val="0"/>
        <w:numPr>
          <w:ilvl w:val="0"/>
          <w:numId w:val="0"/>
        </w:numPr>
        <w:kinsoku/>
        <w:wordWrap/>
        <w:overflowPunct/>
        <w:topLinePunct w:val="0"/>
        <w:autoSpaceDE/>
        <w:autoSpaceDN/>
        <w:bidi w:val="0"/>
        <w:adjustRightInd/>
        <w:snapToGrid/>
        <w:spacing w:line="420" w:lineRule="exact"/>
        <w:ind w:left="0" w:leftChars="0" w:firstLine="482" w:firstLineChars="200"/>
        <w:textAlignment w:val="auto"/>
        <w:rPr>
          <w:rFonts w:ascii="宋体" w:hAnsi="宋体" w:cs="宋体"/>
          <w:b/>
          <w:color w:val="auto"/>
          <w:sz w:val="24"/>
          <w:szCs w:val="24"/>
          <w:highlight w:val="none"/>
          <w:lang w:eastAsia="zh-CN"/>
        </w:rPr>
      </w:pPr>
      <w:r>
        <w:rPr>
          <w:rFonts w:hint="default" w:ascii="宋体" w:hAnsi="宋体" w:eastAsia="宋体" w:cs="宋体"/>
          <w:b/>
          <w:color w:val="auto"/>
          <w:kern w:val="0"/>
          <w:sz w:val="24"/>
          <w:szCs w:val="24"/>
          <w:highlight w:val="none"/>
          <w:lang w:val="en-US" w:eastAsia="zh-CN" w:bidi="en-US"/>
        </w:rPr>
        <w:t>2、</w:t>
      </w:r>
      <w:r>
        <w:rPr>
          <w:rFonts w:hint="eastAsia" w:ascii="宋体" w:hAnsi="宋体" w:cs="宋体"/>
          <w:b/>
          <w:color w:val="auto"/>
          <w:sz w:val="24"/>
          <w:szCs w:val="24"/>
          <w:highlight w:val="none"/>
          <w:lang w:eastAsia="zh-CN"/>
        </w:rPr>
        <w:t>投标人的总得分为所有评委评审该单位总得分的平均值。</w:t>
      </w:r>
    </w:p>
    <w:p w14:paraId="225D95AF">
      <w:pPr>
        <w:keepNext w:val="0"/>
        <w:keepLines w:val="0"/>
        <w:pageBreakBefore w:val="0"/>
        <w:widowControl/>
        <w:kinsoku/>
        <w:wordWrap/>
        <w:overflowPunct/>
        <w:topLinePunct w:val="0"/>
        <w:autoSpaceDE/>
        <w:autoSpaceDN/>
        <w:bidi w:val="0"/>
        <w:adjustRightInd/>
        <w:snapToGrid/>
        <w:spacing w:line="420" w:lineRule="exact"/>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投标文件评分标准材料要求：投标人提供</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证明材料需彩色扫描件加盖投标人红色公章（如原件是彩色件，则扫描件须是彩色）相应所要求的红章可为电子章。否则不能得分。招标人有权在中标公示期间内（中标公示或质疑期间及其他采购人明确要求的时间内）对中标人提供的与本评分办法相关的材料或</w:t>
      </w:r>
      <w:r>
        <w:rPr>
          <w:rFonts w:hint="eastAsia" w:ascii="宋体" w:hAnsi="宋体" w:eastAsia="宋体" w:cs="宋体"/>
          <w:b/>
          <w:bCs/>
          <w:color w:val="auto"/>
          <w:sz w:val="24"/>
          <w:szCs w:val="24"/>
          <w:highlight w:val="none"/>
          <w:lang w:val="en-US" w:eastAsia="zh-CN"/>
        </w:rPr>
        <w:t>采购需求</w:t>
      </w:r>
      <w:r>
        <w:rPr>
          <w:rFonts w:hint="eastAsia" w:ascii="宋体" w:hAnsi="宋体" w:eastAsia="宋体" w:cs="宋体"/>
          <w:b/>
          <w:bCs/>
          <w:color w:val="auto"/>
          <w:sz w:val="24"/>
          <w:szCs w:val="24"/>
          <w:highlight w:val="none"/>
        </w:rPr>
        <w:t>响应等评分依据（原件）的真实性进行复查，如未在采购人规定的时间内提交，采购人有权根据政府采购法律法规处理。如发现有通过提供虚假证明材料或响应获得分值，将取消中标资格。</w:t>
      </w:r>
    </w:p>
    <w:p w14:paraId="230424E8">
      <w:pPr>
        <w:keepNext w:val="0"/>
        <w:keepLines w:val="0"/>
        <w:pageBreakBefore w:val="0"/>
        <w:widowControl/>
        <w:kinsoku/>
        <w:wordWrap/>
        <w:overflowPunct/>
        <w:topLinePunct w:val="0"/>
        <w:autoSpaceDE/>
        <w:autoSpaceDN/>
        <w:bidi w:val="0"/>
        <w:adjustRightInd/>
        <w:snapToGrid/>
        <w:spacing w:line="420" w:lineRule="exact"/>
        <w:ind w:left="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特别说明：</w:t>
      </w:r>
    </w:p>
    <w:p w14:paraId="1C2E6A71">
      <w:pPr>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、证书正在进行年检无法提供证明材料的，应提供相关行政主管部门的受理意见证明、相应官方网站查询结果等相关的有效证明材料。</w:t>
      </w:r>
    </w:p>
    <w:p w14:paraId="47C6898E">
      <w:pPr>
        <w:pStyle w:val="100"/>
        <w:keepNext w:val="0"/>
        <w:keepLines w:val="0"/>
        <w:pageBreakBefore w:val="0"/>
        <w:numPr>
          <w:ilvl w:val="0"/>
          <w:numId w:val="0"/>
        </w:numPr>
        <w:kinsoku/>
        <w:wordWrap/>
        <w:overflowPunct/>
        <w:topLinePunct w:val="0"/>
        <w:autoSpaceDE/>
        <w:autoSpaceDN/>
        <w:bidi w:val="0"/>
        <w:adjustRightInd/>
        <w:snapToGrid/>
        <w:spacing w:line="420" w:lineRule="exact"/>
        <w:ind w:left="0" w:leftChars="0" w:firstLine="480" w:firstLineChars="200"/>
        <w:textAlignment w:val="auto"/>
        <w:rPr>
          <w:rFonts w:ascii="黑体" w:eastAsia="黑体"/>
          <w:bCs/>
          <w:color w:val="auto"/>
          <w:sz w:val="4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、评分标准中涉及的证书等证明材料应在有效期内，且在招标文件上网前取得。</w:t>
      </w:r>
      <w:bookmarkEnd w:id="164"/>
      <w:r>
        <w:rPr>
          <w:rFonts w:ascii="黑体" w:eastAsia="黑体"/>
          <w:bCs/>
          <w:color w:val="auto"/>
          <w:sz w:val="44"/>
          <w:highlight w:val="none"/>
        </w:rPr>
        <w:br w:type="page"/>
      </w:r>
    </w:p>
    <w:p w14:paraId="6CD9CF10">
      <w:pPr>
        <w:keepNext/>
        <w:jc w:val="center"/>
        <w:outlineLvl w:val="0"/>
        <w:rPr>
          <w:rFonts w:ascii="黑体" w:eastAsia="黑体"/>
          <w:bCs/>
          <w:color w:val="auto"/>
          <w:sz w:val="44"/>
          <w:szCs w:val="28"/>
          <w:highlight w:val="none"/>
        </w:rPr>
      </w:pPr>
      <w:r>
        <w:rPr>
          <w:rFonts w:hint="eastAsia" w:ascii="黑体" w:eastAsia="黑体"/>
          <w:bCs/>
          <w:color w:val="auto"/>
          <w:sz w:val="44"/>
          <w:szCs w:val="28"/>
          <w:highlight w:val="none"/>
        </w:rPr>
        <w:t xml:space="preserve">第六章  投标文件格式 </w:t>
      </w:r>
    </w:p>
    <w:p w14:paraId="33405E35">
      <w:pPr>
        <w:keepNext/>
        <w:keepLines/>
        <w:spacing w:before="260" w:after="260" w:line="416" w:lineRule="auto"/>
        <w:jc w:val="center"/>
        <w:outlineLvl w:val="2"/>
        <w:rPr>
          <w:rFonts w:hint="eastAsia" w:ascii="宋体" w:hAnsi="宋体"/>
          <w:b/>
          <w:bCs/>
          <w:color w:val="auto"/>
          <w:sz w:val="24"/>
          <w:szCs w:val="24"/>
          <w:highlight w:val="none"/>
        </w:rPr>
      </w:pPr>
    </w:p>
    <w:p w14:paraId="150B844F">
      <w:pPr>
        <w:keepNext/>
        <w:keepLines/>
        <w:spacing w:before="260" w:after="260" w:line="416" w:lineRule="auto"/>
        <w:jc w:val="center"/>
        <w:outlineLvl w:val="2"/>
        <w:rPr>
          <w:rFonts w:hint="eastAsia" w:ascii="宋体" w:hAnsi="宋体"/>
          <w:b/>
          <w:bCs/>
          <w:color w:val="auto"/>
          <w:sz w:val="24"/>
          <w:szCs w:val="24"/>
          <w:highlight w:val="none"/>
        </w:rPr>
      </w:pPr>
    </w:p>
    <w:p w14:paraId="4AB16B6E">
      <w:pPr>
        <w:keepNext/>
        <w:keepLines/>
        <w:spacing w:before="260" w:after="260" w:line="416" w:lineRule="auto"/>
        <w:jc w:val="center"/>
        <w:outlineLvl w:val="2"/>
        <w:rPr>
          <w:rFonts w:hint="eastAsia" w:ascii="宋体" w:hAnsi="宋体"/>
          <w:b/>
          <w:bCs/>
          <w:color w:val="auto"/>
          <w:sz w:val="24"/>
          <w:szCs w:val="24"/>
          <w:highlight w:val="none"/>
        </w:rPr>
      </w:pPr>
    </w:p>
    <w:p w14:paraId="701B540E">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14:paraId="20C20B09">
      <w:pPr>
        <w:jc w:val="center"/>
        <w:rPr>
          <w:rFonts w:hint="eastAsia" w:ascii="宋体" w:hAnsi="宋体" w:eastAsia="宋体" w:cs="宋体"/>
          <w:b/>
          <w:color w:val="auto"/>
          <w:sz w:val="72"/>
          <w:highlight w:val="none"/>
        </w:rPr>
      </w:pPr>
    </w:p>
    <w:p w14:paraId="0797E98D">
      <w:pPr>
        <w:jc w:val="center"/>
        <w:rPr>
          <w:rFonts w:hint="eastAsia" w:ascii="宋体" w:hAnsi="宋体" w:eastAsia="宋体" w:cs="宋体"/>
          <w:b/>
          <w:color w:val="auto"/>
          <w:sz w:val="36"/>
          <w:highlight w:val="none"/>
        </w:rPr>
      </w:pPr>
    </w:p>
    <w:p w14:paraId="1063F8CB">
      <w:pPr>
        <w:jc w:val="center"/>
        <w:rPr>
          <w:rFonts w:hint="eastAsia" w:ascii="宋体" w:hAnsi="宋体" w:eastAsia="宋体" w:cs="宋体"/>
          <w:b/>
          <w:color w:val="auto"/>
          <w:sz w:val="36"/>
          <w:highlight w:val="none"/>
        </w:rPr>
      </w:pPr>
    </w:p>
    <w:p w14:paraId="0F5D3C74">
      <w:pPr>
        <w:jc w:val="center"/>
        <w:rPr>
          <w:rFonts w:hint="eastAsia" w:ascii="宋体" w:hAnsi="宋体" w:eastAsia="宋体" w:cs="宋体"/>
          <w:b/>
          <w:color w:val="auto"/>
          <w:sz w:val="36"/>
          <w:highlight w:val="none"/>
        </w:rPr>
      </w:pPr>
    </w:p>
    <w:p w14:paraId="167333E5">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14:paraId="322D090A">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招 标 编 号：</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p>
    <w:p w14:paraId="3483F305">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szCs w:val="36"/>
          <w:highlight w:val="none"/>
          <w:u w:val="single"/>
        </w:rPr>
        <w:t>（加盖CA电子公章）</w:t>
      </w:r>
    </w:p>
    <w:p w14:paraId="3D041B56">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p>
    <w:p w14:paraId="0B4026AF">
      <w:pPr>
        <w:keepNext/>
        <w:keepLines/>
        <w:spacing w:before="260" w:after="260" w:line="416" w:lineRule="auto"/>
        <w:jc w:val="center"/>
        <w:outlineLvl w:val="2"/>
        <w:rPr>
          <w:rFonts w:hint="eastAsia" w:ascii="宋体" w:hAnsi="宋体"/>
          <w:b/>
          <w:bCs/>
          <w:color w:val="auto"/>
          <w:sz w:val="24"/>
          <w:szCs w:val="24"/>
          <w:highlight w:val="none"/>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FE2B83E">
      <w:pPr>
        <w:spacing w:line="440" w:lineRule="exact"/>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投标主要文件目录</w:t>
      </w:r>
    </w:p>
    <w:p w14:paraId="1E382748">
      <w:pPr>
        <w:ind w:firstLine="480"/>
        <w:rPr>
          <w:rFonts w:hint="eastAsia" w:ascii="宋体" w:hAnsi="宋体" w:eastAsia="宋体" w:cs="宋体"/>
          <w:color w:val="auto"/>
          <w:sz w:val="24"/>
          <w:highlight w:val="none"/>
        </w:rPr>
      </w:pPr>
    </w:p>
    <w:p w14:paraId="35AD02D1">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一、法人或者其他组织的营业执照等证明文件，自然人的身份证明</w:t>
      </w:r>
    </w:p>
    <w:p w14:paraId="6FEC7B10">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二、上一年度的财务状况报表（至少提供资产负债表、利润表、现金流量表，供应商成立不满一年无需提供）</w:t>
      </w:r>
    </w:p>
    <w:p w14:paraId="516C0718">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三、具备履行合同所必需的设备和专业技术能力的书面声明</w:t>
      </w:r>
    </w:p>
    <w:p w14:paraId="46CA27E0">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4CE2FF12">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五、参加政府采购活动前 3 年内在经营活动中没有重大违法记录的书面声明</w:t>
      </w:r>
    </w:p>
    <w:p w14:paraId="06C51AE8">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lang w:val="en-US" w:eastAsia="zh-CN"/>
        </w:rPr>
      </w:pPr>
      <w:r>
        <w:rPr>
          <w:rFonts w:hint="eastAsia" w:ascii="宋体" w:hAnsi="宋体" w:cs="宋体"/>
          <w:i/>
          <w:iCs/>
          <w:color w:val="auto"/>
          <w:sz w:val="24"/>
          <w:highlight w:val="none"/>
          <w:u w:val="single"/>
          <w:lang w:val="en-US" w:eastAsia="zh-CN"/>
        </w:rPr>
        <w:t>六、在“信用中国”网站查询，无被列入失信被执行人、重大税收违法案件当事人名单、政府采购严重失信行为记录名单及其他不符合《中华人民共和国政府采购法》第二十二条规定条件的信用记录。（提供截图）</w:t>
      </w:r>
    </w:p>
    <w:p w14:paraId="4780FD22">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七</w:t>
      </w:r>
      <w:r>
        <w:rPr>
          <w:rFonts w:hint="eastAsia" w:ascii="宋体" w:hAnsi="宋体" w:eastAsia="宋体" w:cs="宋体"/>
          <w:i/>
          <w:iCs/>
          <w:color w:val="auto"/>
          <w:sz w:val="24"/>
          <w:highlight w:val="none"/>
          <w:u w:val="single"/>
        </w:rPr>
        <w:t>、特定资格要求的证明文件（如果本项目设置特定资格要求，则需要提供）</w:t>
      </w:r>
    </w:p>
    <w:p w14:paraId="4305C254">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八</w:t>
      </w:r>
      <w:r>
        <w:rPr>
          <w:rFonts w:hint="eastAsia" w:ascii="宋体" w:hAnsi="宋体" w:eastAsia="宋体" w:cs="宋体"/>
          <w:i/>
          <w:iCs/>
          <w:color w:val="auto"/>
          <w:sz w:val="24"/>
          <w:highlight w:val="none"/>
          <w:u w:val="single"/>
        </w:rPr>
        <w:t>、法人授权书</w:t>
      </w:r>
    </w:p>
    <w:p w14:paraId="1A855548">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cs="宋体"/>
          <w:i/>
          <w:iCs/>
          <w:color w:val="auto"/>
          <w:sz w:val="24"/>
          <w:highlight w:val="none"/>
          <w:u w:val="single"/>
          <w:lang w:val="en-US" w:eastAsia="zh-CN"/>
        </w:rPr>
        <w:t>九</w:t>
      </w:r>
      <w:r>
        <w:rPr>
          <w:rFonts w:hint="eastAsia" w:ascii="宋体" w:hAnsi="宋体" w:eastAsia="宋体" w:cs="宋体"/>
          <w:i/>
          <w:iCs/>
          <w:color w:val="auto"/>
          <w:sz w:val="24"/>
          <w:highlight w:val="none"/>
          <w:u w:val="single"/>
        </w:rPr>
        <w:t>、投标函</w:t>
      </w:r>
    </w:p>
    <w:p w14:paraId="0D9EA372">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十</w:t>
      </w:r>
      <w:r>
        <w:rPr>
          <w:rFonts w:hint="eastAsia" w:ascii="宋体" w:hAnsi="宋体" w:eastAsia="宋体" w:cs="宋体"/>
          <w:color w:val="auto"/>
          <w:sz w:val="24"/>
          <w:highlight w:val="none"/>
        </w:rPr>
        <w:t>、中小企业声明函</w:t>
      </w:r>
    </w:p>
    <w:p w14:paraId="4CF13EB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rPr>
        <w:t>、残疾人福利性单位声明函</w:t>
      </w:r>
    </w:p>
    <w:p w14:paraId="18221CC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rPr>
        <w:t>、技术要求响应及偏离表</w:t>
      </w:r>
    </w:p>
    <w:p w14:paraId="5DC0D8A2">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rPr>
        <w:t>、项目组成员一览表</w:t>
      </w:r>
    </w:p>
    <w:p w14:paraId="26FAD57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rPr>
        <w:t>、商务要求响应及偏离表</w:t>
      </w:r>
    </w:p>
    <w:p w14:paraId="1C13AB4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五</w:t>
      </w:r>
      <w:r>
        <w:rPr>
          <w:rFonts w:hint="eastAsia" w:ascii="宋体" w:hAnsi="宋体" w:eastAsia="宋体" w:cs="宋体"/>
          <w:color w:val="auto"/>
          <w:sz w:val="24"/>
          <w:highlight w:val="none"/>
        </w:rPr>
        <w:t>、开标一览表</w:t>
      </w:r>
    </w:p>
    <w:p w14:paraId="3B769CF5">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十</w:t>
      </w:r>
      <w:r>
        <w:rPr>
          <w:rFonts w:hint="eastAsia" w:ascii="宋体" w:hAnsi="宋体" w:cs="宋体"/>
          <w:i/>
          <w:iCs/>
          <w:color w:val="auto"/>
          <w:sz w:val="24"/>
          <w:highlight w:val="none"/>
          <w:u w:val="single"/>
          <w:lang w:val="en-US" w:eastAsia="zh-CN"/>
        </w:rPr>
        <w:t>六</w:t>
      </w:r>
      <w:r>
        <w:rPr>
          <w:rFonts w:hint="eastAsia" w:ascii="宋体" w:hAnsi="宋体" w:eastAsia="宋体" w:cs="宋体"/>
          <w:i/>
          <w:iCs/>
          <w:color w:val="auto"/>
          <w:sz w:val="24"/>
          <w:highlight w:val="none"/>
          <w:u w:val="single"/>
        </w:rPr>
        <w:t>、分项报价表</w:t>
      </w:r>
    </w:p>
    <w:p w14:paraId="176001E0">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default" w:ascii="宋体" w:hAnsi="宋体" w:eastAsia="宋体" w:cs="宋体"/>
          <w:i/>
          <w:iCs/>
          <w:color w:val="auto"/>
          <w:sz w:val="24"/>
          <w:highlight w:val="none"/>
          <w:u w:val="single"/>
          <w:lang w:val="en-US" w:eastAsia="zh-CN"/>
        </w:rPr>
      </w:pPr>
      <w:r>
        <w:rPr>
          <w:rFonts w:hint="eastAsia" w:ascii="宋体" w:hAnsi="宋体" w:cs="宋体"/>
          <w:i/>
          <w:iCs/>
          <w:color w:val="auto"/>
          <w:sz w:val="24"/>
          <w:highlight w:val="none"/>
          <w:u w:val="single"/>
          <w:lang w:val="en-US" w:eastAsia="zh-CN"/>
        </w:rPr>
        <w:t>十七、缴纳保险承诺书</w:t>
      </w:r>
    </w:p>
    <w:p w14:paraId="6AEB228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十</w:t>
      </w:r>
      <w:r>
        <w:rPr>
          <w:rFonts w:hint="eastAsia" w:ascii="宋体" w:hAnsi="宋体" w:cs="宋体"/>
          <w:i/>
          <w:iCs/>
          <w:color w:val="auto"/>
          <w:sz w:val="24"/>
          <w:highlight w:val="none"/>
          <w:u w:val="single"/>
          <w:lang w:val="en-US" w:eastAsia="zh-CN"/>
        </w:rPr>
        <w:t>八</w:t>
      </w:r>
      <w:r>
        <w:rPr>
          <w:rFonts w:hint="eastAsia" w:ascii="宋体" w:hAnsi="宋体" w:eastAsia="宋体" w:cs="宋体"/>
          <w:i/>
          <w:iCs/>
          <w:color w:val="auto"/>
          <w:sz w:val="24"/>
          <w:highlight w:val="none"/>
          <w:u w:val="single"/>
        </w:rPr>
        <w:t>、技术方案、服务承诺、培训承诺等</w:t>
      </w:r>
    </w:p>
    <w:p w14:paraId="4838384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十</w:t>
      </w:r>
      <w:r>
        <w:rPr>
          <w:rFonts w:hint="eastAsia" w:ascii="宋体" w:hAnsi="宋体" w:cs="宋体"/>
          <w:color w:val="auto"/>
          <w:sz w:val="24"/>
          <w:highlight w:val="none"/>
          <w:lang w:val="en-US" w:eastAsia="zh-CN"/>
        </w:rPr>
        <w:t>九</w:t>
      </w:r>
      <w:r>
        <w:rPr>
          <w:rFonts w:hint="eastAsia" w:ascii="宋体" w:hAnsi="宋体" w:eastAsia="宋体" w:cs="宋体"/>
          <w:color w:val="auto"/>
          <w:sz w:val="24"/>
          <w:highlight w:val="none"/>
        </w:rPr>
        <w:t>、盐城市政府采购事前信用承诺书</w:t>
      </w:r>
    </w:p>
    <w:p w14:paraId="440D21A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
          <w:bCs/>
          <w:color w:val="auto"/>
          <w:sz w:val="24"/>
          <w:szCs w:val="24"/>
          <w:highlight w:val="none"/>
        </w:rPr>
      </w:pPr>
      <w:r>
        <w:rPr>
          <w:rFonts w:hint="eastAsia" w:ascii="宋体" w:hAnsi="宋体" w:cs="宋体"/>
          <w:color w:val="auto"/>
          <w:sz w:val="24"/>
          <w:highlight w:val="none"/>
          <w:lang w:val="en-US" w:eastAsia="zh-CN"/>
        </w:rPr>
        <w:t>二十</w:t>
      </w:r>
      <w:r>
        <w:rPr>
          <w:rFonts w:hint="eastAsia" w:ascii="宋体" w:hAnsi="宋体" w:eastAsia="宋体" w:cs="宋体"/>
          <w:color w:val="auto"/>
          <w:sz w:val="24"/>
          <w:highlight w:val="none"/>
        </w:rPr>
        <w:t>、其他材料（如有）</w:t>
      </w:r>
      <w:r>
        <w:rPr>
          <w:rFonts w:hint="eastAsia" w:ascii="宋体" w:hAnsi="宋体"/>
          <w:b/>
          <w:bCs/>
          <w:color w:val="auto"/>
          <w:sz w:val="24"/>
          <w:szCs w:val="24"/>
          <w:highlight w:val="none"/>
        </w:rPr>
        <w:br w:type="page"/>
      </w:r>
      <w:r>
        <w:rPr>
          <w:rFonts w:hint="eastAsia" w:ascii="黑体" w:hAnsi="黑体" w:eastAsia="黑体" w:cs="黑体"/>
          <w:i/>
          <w:color w:val="auto"/>
          <w:sz w:val="32"/>
          <w:szCs w:val="32"/>
          <w:highlight w:val="none"/>
          <w:u w:val="single"/>
        </w:rPr>
        <w:t>一、法人或者其他组织的营业执照等证明文件，自然人的身份证明</w:t>
      </w:r>
    </w:p>
    <w:p w14:paraId="788BFD60">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r>
    </w:p>
    <w:p w14:paraId="542F9E98">
      <w:pPr>
        <w:pStyle w:val="123"/>
        <w:spacing w:beforeAutospacing="0" w:afterAutospacing="0" w:line="500" w:lineRule="exact"/>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二、上一年度的财务状况报表</w:t>
      </w:r>
    </w:p>
    <w:p w14:paraId="1582F69B">
      <w:pPr>
        <w:rPr>
          <w:rFonts w:hint="eastAsia" w:ascii="宋体" w:hAnsi="宋体"/>
          <w:b/>
          <w:bCs/>
          <w:color w:val="auto"/>
          <w:sz w:val="24"/>
          <w:szCs w:val="24"/>
          <w:highlight w:val="none"/>
        </w:rPr>
      </w:pPr>
      <w:r>
        <w:rPr>
          <w:rFonts w:hint="eastAsia"/>
          <w:color w:val="auto"/>
          <w:highlight w:val="none"/>
        </w:rPr>
        <w:t>（</w:t>
      </w:r>
      <w:r>
        <w:rPr>
          <w:rFonts w:hint="eastAsia" w:ascii="宋体" w:hAnsi="宋体" w:cs="宋体"/>
          <w:color w:val="auto"/>
          <w:highlight w:val="none"/>
        </w:rPr>
        <w:t>至少提供资产负债表、利润表、现金流量表，供应商成立不满一年不需提供。</w:t>
      </w:r>
      <w:r>
        <w:rPr>
          <w:rFonts w:hint="eastAsia" w:ascii="宋体" w:hAnsi="宋体"/>
          <w:b/>
          <w:bCs/>
          <w:color w:val="auto"/>
          <w:sz w:val="24"/>
          <w:szCs w:val="24"/>
          <w:highlight w:val="none"/>
        </w:rPr>
        <w:br w:type="page"/>
      </w:r>
    </w:p>
    <w:p w14:paraId="45DF4B46">
      <w:pPr>
        <w:pStyle w:val="123"/>
        <w:spacing w:beforeAutospacing="0" w:afterAutospacing="0" w:line="500" w:lineRule="exact"/>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三、具备履行合同所必需的设备和专业技术能力的书面声明</w:t>
      </w:r>
    </w:p>
    <w:p w14:paraId="22579825">
      <w:pPr>
        <w:pStyle w:val="123"/>
        <w:spacing w:beforeAutospacing="0" w:afterAutospacing="0" w:line="500" w:lineRule="exact"/>
        <w:ind w:firstLine="480"/>
        <w:jc w:val="both"/>
        <w:rPr>
          <w:rFonts w:hint="eastAsia"/>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15748382">
      <w:pPr>
        <w:pStyle w:val="123"/>
        <w:spacing w:beforeAutospacing="0" w:afterAutospacing="0" w:line="500" w:lineRule="exact"/>
        <w:ind w:firstLine="480"/>
        <w:jc w:val="both"/>
        <w:rPr>
          <w:rFonts w:hint="eastAsia"/>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2B5ED3D3">
      <w:pPr>
        <w:rPr>
          <w:rFonts w:hint="eastAsia" w:ascii="宋体" w:hAnsi="宋体"/>
          <w:b/>
          <w:bCs/>
          <w:color w:val="auto"/>
          <w:sz w:val="24"/>
          <w:szCs w:val="24"/>
          <w:highlight w:val="none"/>
        </w:rPr>
      </w:pPr>
      <w:r>
        <w:rPr>
          <w:rFonts w:hint="eastAsia" w:ascii="宋体" w:hAnsi="宋体" w:eastAsia="宋体" w:cs="宋体"/>
          <w:color w:val="auto"/>
          <w:kern w:val="2"/>
          <w:sz w:val="24"/>
          <w:szCs w:val="21"/>
          <w:highlight w:val="none"/>
          <w:lang w:val="en-US" w:eastAsia="zh-CN" w:bidi="ar-SA"/>
        </w:rPr>
        <w:t>主要专业技术能力有</w:t>
      </w:r>
      <w:r>
        <w:rPr>
          <w:rFonts w:hint="eastAsia" w:ascii="宋体" w:hAnsi="宋体" w:eastAsia="宋体" w:cs="宋体"/>
          <w:color w:val="auto"/>
          <w:kern w:val="2"/>
          <w:sz w:val="24"/>
          <w:szCs w:val="21"/>
          <w:highlight w:val="none"/>
          <w:u w:val="single"/>
          <w:lang w:val="en-US" w:eastAsia="zh-CN" w:bidi="ar-SA"/>
        </w:rPr>
        <w:t xml:space="preserve">：   </w:t>
      </w:r>
      <w:r>
        <w:rPr>
          <w:rFonts w:hint="eastAsia" w:ascii="宋体" w:hAnsi="宋体" w:eastAsia="宋体" w:cs="宋体"/>
          <w:color w:val="auto"/>
          <w:kern w:val="2"/>
          <w:sz w:val="24"/>
          <w:szCs w:val="21"/>
          <w:highlight w:val="none"/>
          <w:lang w:val="en-US" w:eastAsia="zh-CN" w:bidi="ar-SA"/>
        </w:rPr>
        <w:t>。</w:t>
      </w:r>
      <w:r>
        <w:rPr>
          <w:rFonts w:hint="eastAsia" w:ascii="宋体" w:hAnsi="宋体"/>
          <w:b/>
          <w:bCs/>
          <w:color w:val="auto"/>
          <w:sz w:val="24"/>
          <w:szCs w:val="24"/>
          <w:highlight w:val="none"/>
        </w:rPr>
        <w:br w:type="page"/>
      </w:r>
    </w:p>
    <w:p w14:paraId="7020C841">
      <w:pPr>
        <w:jc w:val="cente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四、依法缴纳税收和社会保障资金的相关材料</w:t>
      </w:r>
    </w:p>
    <w:p w14:paraId="7833DD31">
      <w:pPr>
        <w:rPr>
          <w:rFonts w:hint="eastAsia" w:ascii="宋体" w:hAnsi="宋体"/>
          <w:b/>
          <w:bCs/>
          <w:color w:val="auto"/>
          <w:sz w:val="24"/>
          <w:szCs w:val="24"/>
          <w:highlight w:val="none"/>
        </w:rPr>
      </w:pPr>
      <w:r>
        <w:rPr>
          <w:rFonts w:hint="eastAsia"/>
          <w:color w:val="auto"/>
          <w:szCs w:val="24"/>
          <w:highlight w:val="none"/>
        </w:rPr>
        <w:t>提供提交投标文件截止时间前一年内至少一个月依法缴纳税收及缴纳社会保障资金的证明材料。供应商依法享受缓缴、免缴税收、社会保障资金的提供证明材料。</w:t>
      </w:r>
      <w:r>
        <w:rPr>
          <w:rFonts w:hint="eastAsia" w:ascii="宋体" w:hAnsi="宋体"/>
          <w:b/>
          <w:bCs/>
          <w:color w:val="auto"/>
          <w:sz w:val="24"/>
          <w:szCs w:val="24"/>
          <w:highlight w:val="none"/>
        </w:rPr>
        <w:br w:type="page"/>
      </w:r>
    </w:p>
    <w:p w14:paraId="37048EAC">
      <w:pPr>
        <w:pStyle w:val="123"/>
        <w:spacing w:beforeAutospacing="0" w:afterAutospacing="0" w:line="500" w:lineRule="exact"/>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五、参加政府采购活动前 3 年内在经营活动中没有重大违法记录的书面声明</w:t>
      </w:r>
    </w:p>
    <w:p w14:paraId="44E2343A">
      <w:pPr>
        <w:pStyle w:val="123"/>
        <w:spacing w:beforeAutospacing="0" w:afterAutospacing="0" w:line="500" w:lineRule="exact"/>
        <w:ind w:firstLine="3618"/>
        <w:jc w:val="both"/>
        <w:rPr>
          <w:rFonts w:hint="eastAsia"/>
          <w:color w:val="auto"/>
          <w:highlight w:val="none"/>
        </w:rPr>
      </w:pPr>
      <w:r>
        <w:rPr>
          <w:rFonts w:hint="eastAsia"/>
          <w:b/>
          <w:color w:val="auto"/>
          <w:sz w:val="44"/>
          <w:szCs w:val="44"/>
          <w:highlight w:val="none"/>
        </w:rPr>
        <w:t>声  明</w:t>
      </w:r>
    </w:p>
    <w:p w14:paraId="6BFE62DD">
      <w:pPr>
        <w:rPr>
          <w:rFonts w:hint="eastAsia"/>
          <w:color w:val="auto"/>
          <w:highlight w:val="none"/>
        </w:rPr>
      </w:pP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526B922F">
      <w:pPr>
        <w:rPr>
          <w:rFonts w:hint="eastAsia" w:ascii="宋体" w:hAnsi="宋体"/>
          <w:b/>
          <w:bCs/>
          <w:color w:val="auto"/>
          <w:sz w:val="24"/>
          <w:szCs w:val="24"/>
          <w:highlight w:val="none"/>
        </w:rPr>
      </w:pPr>
      <w:r>
        <w:rPr>
          <w:rFonts w:hint="eastAsia"/>
          <w:color w:val="auto"/>
          <w:highlight w:val="none"/>
        </w:rPr>
        <w:br w:type="page"/>
      </w:r>
    </w:p>
    <w:p w14:paraId="5B8BDAF1">
      <w:pPr>
        <w:pStyle w:val="123"/>
        <w:spacing w:beforeAutospacing="0" w:afterAutospacing="0" w:line="500" w:lineRule="exact"/>
        <w:jc w:val="center"/>
        <w:outlineLvl w:val="1"/>
        <w:rPr>
          <w:rFonts w:hint="eastAsia" w:ascii="黑体" w:hAnsi="黑体" w:eastAsia="黑体" w:cs="黑体"/>
          <w:i/>
          <w:color w:val="auto"/>
          <w:sz w:val="32"/>
          <w:szCs w:val="32"/>
          <w:highlight w:val="none"/>
          <w:u w:val="singl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3167AD4">
      <w:pPr>
        <w:pStyle w:val="123"/>
        <w:spacing w:beforeAutospacing="0" w:afterAutospacing="0" w:line="500" w:lineRule="exact"/>
        <w:jc w:val="center"/>
        <w:outlineLvl w:val="1"/>
        <w:rPr>
          <w:rFonts w:hint="eastAsia" w:ascii="黑体" w:hAnsi="黑体" w:eastAsia="黑体" w:cs="黑体"/>
          <w:i/>
          <w:color w:val="auto"/>
          <w:sz w:val="32"/>
          <w:szCs w:val="32"/>
          <w:highlight w:val="none"/>
          <w:u w:val="singl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黑体" w:hAnsi="黑体" w:eastAsia="黑体" w:cs="黑体"/>
          <w:i/>
          <w:color w:val="auto"/>
          <w:sz w:val="32"/>
          <w:szCs w:val="32"/>
          <w:highlight w:val="none"/>
          <w:u w:val="single"/>
          <w:lang w:val="en-US" w:eastAsia="zh-CN"/>
        </w:rPr>
        <w:t>六、在“信用中国”网站查询，无被列入失信被执行人、重大税收违法案件当事人名单、政府采购严重失信行为记录名单及其他不符合《中华人民共和国政府采购法》第二十二条规定条件的信用记录。（提供截图）</w:t>
      </w:r>
    </w:p>
    <w:p w14:paraId="3F3F1DC7">
      <w:pPr>
        <w:pStyle w:val="123"/>
        <w:spacing w:beforeAutospacing="0" w:afterAutospacing="0" w:line="500" w:lineRule="exact"/>
        <w:jc w:val="center"/>
        <w:outlineLvl w:val="1"/>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lang w:val="en-US" w:eastAsia="zh-CN"/>
        </w:rPr>
        <w:t>七</w:t>
      </w:r>
      <w:r>
        <w:rPr>
          <w:rFonts w:hint="eastAsia" w:ascii="黑体" w:hAnsi="黑体" w:eastAsia="黑体" w:cs="黑体"/>
          <w:i/>
          <w:color w:val="auto"/>
          <w:sz w:val="32"/>
          <w:szCs w:val="32"/>
          <w:highlight w:val="none"/>
          <w:u w:val="single"/>
        </w:rPr>
        <w:t>、特定资格要求的证明文件</w:t>
      </w:r>
    </w:p>
    <w:p w14:paraId="67A1AEC9">
      <w:pPr>
        <w:rPr>
          <w:rFonts w:hint="eastAsia" w:ascii="宋体" w:hAnsi="宋体"/>
          <w:b/>
          <w:bCs/>
          <w:color w:val="auto"/>
          <w:sz w:val="24"/>
          <w:szCs w:val="24"/>
          <w:highlight w:val="none"/>
        </w:rPr>
      </w:pPr>
      <w:r>
        <w:rPr>
          <w:rFonts w:hint="eastAsia"/>
          <w:color w:val="auto"/>
          <w:highlight w:val="none"/>
        </w:rPr>
        <w:t>如果本项目申请人的特定资格要求中要求提供的，必须提供。</w:t>
      </w:r>
      <w:r>
        <w:rPr>
          <w:rFonts w:hint="eastAsia" w:ascii="宋体" w:hAnsi="宋体"/>
          <w:b/>
          <w:bCs/>
          <w:color w:val="auto"/>
          <w:sz w:val="24"/>
          <w:szCs w:val="24"/>
          <w:highlight w:val="none"/>
        </w:rPr>
        <w:br w:type="page"/>
      </w:r>
    </w:p>
    <w:p w14:paraId="560F61C1">
      <w:pPr>
        <w:pStyle w:val="123"/>
        <w:spacing w:beforeAutospacing="0" w:afterAutospacing="0" w:line="500" w:lineRule="exact"/>
        <w:jc w:val="center"/>
        <w:outlineLvl w:val="1"/>
        <w:rPr>
          <w:rFonts w:hint="eastAsia" w:ascii="宋体" w:hAnsi="宋体" w:eastAsia="宋体" w:cs="宋体"/>
          <w:i/>
          <w:color w:val="auto"/>
          <w:sz w:val="32"/>
          <w:szCs w:val="32"/>
          <w:highlight w:val="none"/>
          <w:u w:val="single"/>
        </w:rPr>
      </w:pPr>
      <w:r>
        <w:rPr>
          <w:rFonts w:hint="eastAsia"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、法人授权书</w:t>
      </w:r>
    </w:p>
    <w:p w14:paraId="7D3B5D65">
      <w:pPr>
        <w:pStyle w:val="123"/>
        <w:ind w:firstLine="480"/>
        <w:rPr>
          <w:rFonts w:hint="eastAsia" w:ascii="宋体" w:hAnsi="宋体" w:eastAsia="宋体" w:cs="宋体"/>
          <w:color w:val="auto"/>
          <w:highlight w:val="none"/>
        </w:rPr>
      </w:pPr>
      <w:r>
        <w:rPr>
          <w:rFonts w:hint="eastAsia" w:ascii="宋体" w:hAnsi="宋体" w:eastAsia="宋体" w:cs="宋体"/>
          <w:color w:val="auto"/>
          <w:highlight w:val="none"/>
        </w:rPr>
        <w:t>本授权书声明：</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（供应商名称）授权</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（被授权人的姓名）为我方就</w:t>
      </w:r>
      <w:r>
        <w:rPr>
          <w:rFonts w:hint="eastAsia"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w:t>
      </w:r>
      <w:r>
        <w:rPr>
          <w:rFonts w:hint="eastAsia" w:cs="宋体"/>
          <w:color w:val="auto"/>
          <w:szCs w:val="20"/>
          <w:highlight w:val="none"/>
          <w:u w:val="single"/>
          <w:lang w:val="en-US" w:eastAsia="zh-CN"/>
        </w:rPr>
        <w:t xml:space="preserve">             </w:t>
      </w:r>
      <w:r>
        <w:rPr>
          <w:rFonts w:hint="eastAsia" w:ascii="宋体" w:hAnsi="宋体" w:eastAsia="宋体" w:cs="宋体"/>
          <w:color w:val="auto"/>
          <w:highlight w:val="none"/>
        </w:rPr>
        <w:t>采购活动的合法代理人，以本单位名义全权处理一切与该项目采购有关的事务。</w:t>
      </w:r>
    </w:p>
    <w:p w14:paraId="647E5E0B">
      <w:pPr>
        <w:pStyle w:val="123"/>
        <w:ind w:firstLine="480"/>
        <w:rPr>
          <w:rFonts w:hint="eastAsia" w:ascii="宋体" w:hAnsi="宋体" w:eastAsia="宋体" w:cs="宋体"/>
          <w:color w:val="auto"/>
          <w:highlight w:val="none"/>
        </w:rPr>
      </w:pPr>
      <w:r>
        <w:rPr>
          <w:rFonts w:hint="eastAsia" w:ascii="宋体" w:hAnsi="宋体" w:eastAsia="宋体" w:cs="宋体"/>
          <w:color w:val="auto"/>
          <w:highlight w:val="none"/>
        </w:rPr>
        <w:t>本授权书于</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年</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月</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日起生效，特此声明。</w:t>
      </w:r>
    </w:p>
    <w:p w14:paraId="720868A9">
      <w:pPr>
        <w:pStyle w:val="123"/>
        <w:ind w:firstLine="480"/>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w:t>
      </w:r>
    </w:p>
    <w:p w14:paraId="566A57E4">
      <w:pPr>
        <w:pStyle w:val="123"/>
        <w:ind w:firstLine="480"/>
        <w:rPr>
          <w:rFonts w:hint="eastAsia" w:ascii="宋体" w:hAnsi="宋体" w:eastAsia="宋体" w:cs="宋体"/>
          <w:color w:val="auto"/>
          <w:highlight w:val="none"/>
        </w:rPr>
      </w:pPr>
      <w:r>
        <w:rPr>
          <w:rFonts w:hint="eastAsia" w:ascii="宋体" w:hAnsi="宋体" w:eastAsia="宋体" w:cs="宋体"/>
          <w:color w:val="auto"/>
          <w:highlight w:val="none"/>
        </w:rPr>
        <w:t>被授权人联系电话：</w:t>
      </w:r>
      <w:r>
        <w:rPr>
          <w:rFonts w:hint="eastAsia" w:ascii="宋体" w:hAnsi="宋体" w:eastAsia="宋体" w:cs="宋体"/>
          <w:color w:val="auto"/>
          <w:highlight w:val="none"/>
          <w:u w:val="single"/>
        </w:rPr>
        <w:t xml:space="preserve">  （手机）              </w:t>
      </w:r>
      <w:r>
        <w:rPr>
          <w:rFonts w:hint="eastAsia" w:ascii="宋体" w:hAnsi="宋体" w:eastAsia="宋体" w:cs="宋体"/>
          <w:color w:val="auto"/>
          <w:highlight w:val="none"/>
        </w:rPr>
        <w:t xml:space="preserve">                   </w:t>
      </w:r>
    </w:p>
    <w:p w14:paraId="78BD4F3F">
      <w:pPr>
        <w:pStyle w:val="123"/>
        <w:ind w:firstLine="480"/>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 xml:space="preserve">（加盖CA电子公章）          </w:t>
      </w:r>
      <w:r>
        <w:rPr>
          <w:rFonts w:hint="eastAsia" w:ascii="宋体" w:hAnsi="宋体" w:eastAsia="宋体" w:cs="宋体"/>
          <w:color w:val="auto"/>
          <w:highlight w:val="none"/>
        </w:rPr>
        <w:t xml:space="preserve">            </w:t>
      </w:r>
    </w:p>
    <w:p w14:paraId="000DDE7C">
      <w:pPr>
        <w:pStyle w:val="123"/>
        <w:ind w:firstLine="480"/>
        <w:rPr>
          <w:rFonts w:hint="eastAsia" w:ascii="宋体" w:hAnsi="宋体" w:eastAsia="宋体" w:cs="宋体"/>
          <w:color w:val="auto"/>
          <w:highlight w:val="none"/>
        </w:rPr>
      </w:pPr>
      <w:r>
        <w:rPr>
          <w:rFonts w:hint="eastAsia" w:ascii="宋体" w:hAnsi="宋体" w:eastAsia="宋体" w:cs="宋体"/>
          <w:color w:val="auto"/>
          <w:highlight w:val="none"/>
        </w:rPr>
        <w:t>单 位 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70281E3B">
      <w:pPr>
        <w:pStyle w:val="123"/>
        <w:ind w:firstLine="480"/>
        <w:rPr>
          <w:rFonts w:hint="eastAsia" w:ascii="宋体" w:hAnsi="宋体" w:eastAsia="宋体" w:cs="宋体"/>
          <w:color w:val="auto"/>
          <w:highlight w:val="none"/>
        </w:rPr>
      </w:pPr>
      <w:r>
        <w:rPr>
          <w:rFonts w:hint="eastAsia" w:ascii="宋体" w:hAnsi="宋体" w:eastAsia="宋体" w:cs="宋体"/>
          <w:color w:val="auto"/>
          <w:highlight w:val="none"/>
        </w:rPr>
        <w:t>日       期：</w:t>
      </w:r>
      <w:r>
        <w:rPr>
          <w:rFonts w:hint="eastAsia" w:ascii="宋体" w:hAnsi="宋体" w:eastAsia="宋体" w:cs="宋体"/>
          <w:color w:val="auto"/>
          <w:highlight w:val="none"/>
          <w:u w:val="single"/>
        </w:rPr>
        <w:t xml:space="preserve">                           </w:t>
      </w:r>
    </w:p>
    <w:p w14:paraId="694CBA15">
      <w:pPr>
        <w:pStyle w:val="123"/>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43B4E37">
      <w:pPr>
        <w:pStyle w:val="42"/>
        <w:rPr>
          <w:b/>
          <w:bCs/>
          <w:color w:val="auto"/>
          <w:sz w:val="32"/>
          <w:szCs w:val="32"/>
          <w:highlight w:val="none"/>
        </w:rPr>
      </w:pPr>
    </w:p>
    <w:p w14:paraId="3A7D74F1">
      <w:pPr>
        <w:pStyle w:val="42"/>
        <w:rPr>
          <w:b/>
          <w:bCs/>
          <w:color w:val="auto"/>
          <w:sz w:val="32"/>
          <w:szCs w:val="32"/>
          <w:highlight w:val="none"/>
        </w:rPr>
      </w:pPr>
    </w:p>
    <w:p w14:paraId="38973375">
      <w:pPr>
        <w:pStyle w:val="42"/>
        <w:rPr>
          <w:b/>
          <w:bCs/>
          <w:color w:val="auto"/>
          <w:sz w:val="32"/>
          <w:szCs w:val="32"/>
          <w:highlight w:val="none"/>
        </w:rPr>
      </w:pPr>
    </w:p>
    <w:p w14:paraId="73682782">
      <w:pPr>
        <w:pStyle w:val="42"/>
        <w:rPr>
          <w:b/>
          <w:bCs/>
          <w:color w:val="auto"/>
          <w:sz w:val="32"/>
          <w:szCs w:val="32"/>
          <w:highlight w:val="none"/>
        </w:rPr>
      </w:pPr>
    </w:p>
    <w:p w14:paraId="35A0C129">
      <w:pPr>
        <w:pStyle w:val="42"/>
        <w:rPr>
          <w:b/>
          <w:bCs/>
          <w:color w:val="auto"/>
          <w:sz w:val="32"/>
          <w:szCs w:val="32"/>
          <w:highlight w:val="none"/>
        </w:rPr>
      </w:pPr>
    </w:p>
    <w:p w14:paraId="1E50D8F1">
      <w:pPr>
        <w:pStyle w:val="42"/>
        <w:rPr>
          <w:b/>
          <w:bCs/>
          <w:color w:val="auto"/>
          <w:sz w:val="32"/>
          <w:szCs w:val="32"/>
          <w:highlight w:val="none"/>
        </w:rPr>
      </w:pPr>
    </w:p>
    <w:p w14:paraId="602FAA07">
      <w:pPr>
        <w:pStyle w:val="42"/>
        <w:rPr>
          <w:b/>
          <w:bCs/>
          <w:color w:val="auto"/>
          <w:sz w:val="32"/>
          <w:szCs w:val="32"/>
          <w:highlight w:val="none"/>
        </w:rPr>
      </w:pPr>
    </w:p>
    <w:p w14:paraId="6E2DF34D">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r>
    </w:p>
    <w:p w14:paraId="2E076AE3">
      <w:pPr>
        <w:ind w:firstLine="480"/>
        <w:jc w:val="center"/>
        <w:rPr>
          <w:color w:val="auto"/>
          <w:highlight w:val="none"/>
        </w:rPr>
      </w:pPr>
      <w:r>
        <w:rPr>
          <w:rFonts w:hint="eastAsia" w:ascii="黑体" w:hAnsi="黑体" w:eastAsia="黑体" w:cs="黑体"/>
          <w:i/>
          <w:color w:val="auto"/>
          <w:sz w:val="32"/>
          <w:szCs w:val="32"/>
          <w:highlight w:val="none"/>
          <w:u w:val="single"/>
          <w:lang w:val="en-US" w:eastAsia="zh-CN"/>
        </w:rPr>
        <w:t>九</w:t>
      </w:r>
      <w:r>
        <w:rPr>
          <w:rFonts w:hint="eastAsia" w:ascii="黑体" w:hAnsi="黑体" w:eastAsia="黑体" w:cs="黑体"/>
          <w:i/>
          <w:color w:val="auto"/>
          <w:sz w:val="32"/>
          <w:szCs w:val="32"/>
          <w:highlight w:val="none"/>
          <w:u w:val="single"/>
        </w:rPr>
        <w:t>、投标函</w:t>
      </w:r>
    </w:p>
    <w:p w14:paraId="6D9C5AAF">
      <w:pPr>
        <w:ind w:firstLine="480"/>
        <w:rPr>
          <w:rFonts w:hint="default" w:eastAsia="宋体"/>
          <w:color w:val="auto"/>
          <w:sz w:val="24"/>
          <w:szCs w:val="24"/>
          <w:highlight w:val="none"/>
          <w:lang w:val="en-US" w:eastAsia="zh-CN"/>
        </w:rPr>
      </w:pPr>
      <w:r>
        <w:rPr>
          <w:rFonts w:hint="eastAsia"/>
          <w:color w:val="auto"/>
          <w:sz w:val="24"/>
          <w:szCs w:val="24"/>
          <w:highlight w:val="none"/>
        </w:rPr>
        <w:t>致：</w:t>
      </w:r>
      <w:r>
        <w:rPr>
          <w:rFonts w:hint="eastAsia"/>
          <w:color w:val="auto"/>
          <w:sz w:val="24"/>
          <w:szCs w:val="24"/>
          <w:highlight w:val="none"/>
          <w:lang w:val="en-US" w:eastAsia="zh-CN"/>
        </w:rPr>
        <w:t>滨海县通榆镇人民政府</w:t>
      </w:r>
    </w:p>
    <w:p w14:paraId="224FCBB6">
      <w:pPr>
        <w:ind w:firstLine="480"/>
        <w:rPr>
          <w:color w:val="auto"/>
          <w:sz w:val="24"/>
          <w:szCs w:val="24"/>
          <w:highlight w:val="none"/>
        </w:rPr>
      </w:pPr>
      <w:r>
        <w:rPr>
          <w:rFonts w:hint="eastAsia"/>
          <w:color w:val="auto"/>
          <w:sz w:val="24"/>
          <w:szCs w:val="24"/>
          <w:highlight w:val="none"/>
        </w:rPr>
        <w:t>根据贵方的</w:t>
      </w:r>
      <w:r>
        <w:rPr>
          <w:rFonts w:hint="eastAsia"/>
          <w:color w:val="auto"/>
          <w:sz w:val="24"/>
          <w:szCs w:val="24"/>
          <w:highlight w:val="none"/>
          <w:u w:val="single"/>
          <w:lang w:val="en-US" w:eastAsia="zh-CN"/>
        </w:rPr>
        <w:t xml:space="preserve">        </w:t>
      </w:r>
      <w:r>
        <w:rPr>
          <w:rFonts w:hint="eastAsia"/>
          <w:color w:val="auto"/>
          <w:sz w:val="24"/>
          <w:szCs w:val="24"/>
          <w:highlight w:val="none"/>
        </w:rPr>
        <w:t>号招标文件，正式授权下述签字人______(姓名)代表我方______________（供应商的名称），全权处理本次项目投标的有关事宜。</w:t>
      </w:r>
    </w:p>
    <w:p w14:paraId="6A46BA64">
      <w:pPr>
        <w:ind w:firstLine="480"/>
        <w:rPr>
          <w:color w:val="auto"/>
          <w:sz w:val="24"/>
          <w:szCs w:val="24"/>
          <w:highlight w:val="none"/>
        </w:rPr>
      </w:pPr>
      <w:r>
        <w:rPr>
          <w:rFonts w:hint="eastAsia"/>
          <w:color w:val="auto"/>
          <w:sz w:val="24"/>
          <w:szCs w:val="24"/>
          <w:highlight w:val="none"/>
        </w:rPr>
        <w:t>据此函，__________签字人兹宣布同意如下：</w:t>
      </w:r>
    </w:p>
    <w:p w14:paraId="238C62DE">
      <w:pPr>
        <w:ind w:firstLine="480"/>
        <w:rPr>
          <w:color w:val="auto"/>
          <w:sz w:val="24"/>
          <w:szCs w:val="24"/>
          <w:highlight w:val="none"/>
        </w:rPr>
      </w:pPr>
      <w:r>
        <w:rPr>
          <w:rFonts w:hint="eastAsia"/>
          <w:color w:val="auto"/>
          <w:sz w:val="24"/>
          <w:szCs w:val="24"/>
          <w:highlight w:val="none"/>
        </w:rPr>
        <w:t>我单位承诺</w:t>
      </w:r>
      <w:r>
        <w:rPr>
          <w:rFonts w:hint="eastAsia"/>
          <w:color w:val="auto"/>
          <w:sz w:val="24"/>
          <w:szCs w:val="24"/>
          <w:highlight w:val="none"/>
          <w:lang w:val="en-US" w:eastAsia="zh-CN"/>
        </w:rPr>
        <w:t>合同履行</w:t>
      </w:r>
      <w:r>
        <w:rPr>
          <w:rFonts w:hint="eastAsia"/>
          <w:color w:val="auto"/>
          <w:sz w:val="24"/>
          <w:szCs w:val="24"/>
          <w:highlight w:val="none"/>
        </w:rPr>
        <w:t>期限：</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，服务标准：</w:t>
      </w:r>
      <w:r>
        <w:rPr>
          <w:rFonts w:hint="eastAsia"/>
          <w:color w:val="auto"/>
          <w:sz w:val="24"/>
          <w:szCs w:val="24"/>
          <w:highlight w:val="none"/>
          <w:u w:val="single"/>
          <w:lang w:val="en-US" w:eastAsia="zh-CN"/>
        </w:rPr>
        <w:t xml:space="preserve">      </w:t>
      </w:r>
      <w:r>
        <w:rPr>
          <w:rFonts w:hint="eastAsia"/>
          <w:color w:val="auto"/>
          <w:sz w:val="24"/>
          <w:szCs w:val="24"/>
          <w:highlight w:val="none"/>
        </w:rPr>
        <w:t>。</w:t>
      </w:r>
    </w:p>
    <w:p w14:paraId="36696DCA">
      <w:pPr>
        <w:ind w:firstLine="480"/>
        <w:rPr>
          <w:color w:val="auto"/>
          <w:sz w:val="24"/>
          <w:szCs w:val="24"/>
          <w:highlight w:val="none"/>
        </w:rPr>
      </w:pPr>
      <w:r>
        <w:rPr>
          <w:rFonts w:hint="eastAsia"/>
          <w:color w:val="auto"/>
          <w:sz w:val="24"/>
          <w:szCs w:val="24"/>
          <w:highlight w:val="none"/>
        </w:rPr>
        <w:t>1.按招标文件规定的各项要求，向买方提供所需服务（包含与服务相关的货物）。</w:t>
      </w:r>
    </w:p>
    <w:p w14:paraId="05A5A199">
      <w:pPr>
        <w:ind w:firstLine="480"/>
        <w:rPr>
          <w:color w:val="auto"/>
          <w:sz w:val="24"/>
          <w:szCs w:val="24"/>
          <w:highlight w:val="none"/>
        </w:rPr>
      </w:pPr>
      <w:r>
        <w:rPr>
          <w:rFonts w:hint="eastAsia"/>
          <w:color w:val="auto"/>
          <w:sz w:val="24"/>
          <w:szCs w:val="24"/>
          <w:highlight w:val="none"/>
        </w:rPr>
        <w:t>2.我们完全理解贵方不一定将合同授予最低报价的供应商。</w:t>
      </w:r>
    </w:p>
    <w:p w14:paraId="3E351B70">
      <w:pPr>
        <w:ind w:firstLine="480"/>
        <w:rPr>
          <w:color w:val="auto"/>
          <w:sz w:val="24"/>
          <w:szCs w:val="24"/>
          <w:highlight w:val="none"/>
        </w:rPr>
      </w:pPr>
      <w:r>
        <w:rPr>
          <w:rFonts w:hint="eastAsia"/>
          <w:color w:val="auto"/>
          <w:sz w:val="24"/>
          <w:szCs w:val="24"/>
          <w:highlight w:val="none"/>
        </w:rPr>
        <w:t>3.我们已详细审核全部招标文件及其有效补充文件，我们知道必须放弃提出含糊不清或误解问题的权利。</w:t>
      </w:r>
    </w:p>
    <w:p w14:paraId="166A5BA6">
      <w:pPr>
        <w:ind w:firstLine="480"/>
        <w:rPr>
          <w:color w:val="auto"/>
          <w:sz w:val="24"/>
          <w:szCs w:val="24"/>
          <w:highlight w:val="none"/>
        </w:rPr>
      </w:pPr>
      <w:r>
        <w:rPr>
          <w:rFonts w:hint="eastAsia"/>
          <w:color w:val="auto"/>
          <w:sz w:val="24"/>
          <w:szCs w:val="24"/>
          <w:highlight w:val="none"/>
        </w:rPr>
        <w:t>4.我们同意从规定的开标日期起遵循本投标文件，并在规定的投标有效期期满之前均具有约束力。</w:t>
      </w:r>
    </w:p>
    <w:p w14:paraId="094ABF7B">
      <w:pPr>
        <w:ind w:firstLine="480"/>
        <w:rPr>
          <w:color w:val="auto"/>
          <w:sz w:val="24"/>
          <w:szCs w:val="24"/>
          <w:highlight w:val="none"/>
        </w:rPr>
      </w:pPr>
      <w:r>
        <w:rPr>
          <w:rFonts w:hint="eastAsia"/>
          <w:color w:val="auto"/>
          <w:sz w:val="24"/>
          <w:szCs w:val="24"/>
          <w:highlight w:val="none"/>
        </w:rPr>
        <w:t>5.同意向贵方提供贵方可能另外要求的与投标有关的任何证据或资料，并保证我方已提供和将要提供的文件是真实的、准确的。</w:t>
      </w:r>
    </w:p>
    <w:p w14:paraId="13A092CD">
      <w:pPr>
        <w:ind w:firstLine="480"/>
        <w:rPr>
          <w:color w:val="auto"/>
          <w:sz w:val="24"/>
          <w:szCs w:val="24"/>
          <w:highlight w:val="none"/>
        </w:rPr>
      </w:pPr>
      <w:r>
        <w:rPr>
          <w:rFonts w:hint="eastAsia"/>
          <w:color w:val="auto"/>
          <w:sz w:val="24"/>
          <w:szCs w:val="24"/>
          <w:highlight w:val="none"/>
        </w:rPr>
        <w:t>6.一旦我方中标,我方将根据招标文件的规定，严格履行合同的责任和义务,并保证在招标文件规定的时间完成项目，交付买方验收、使用。</w:t>
      </w:r>
    </w:p>
    <w:p w14:paraId="122C7008">
      <w:pPr>
        <w:ind w:firstLine="480"/>
        <w:rPr>
          <w:color w:val="auto"/>
          <w:sz w:val="24"/>
          <w:szCs w:val="24"/>
          <w:highlight w:val="none"/>
        </w:rPr>
      </w:pPr>
      <w:r>
        <w:rPr>
          <w:rFonts w:hint="eastAsia"/>
          <w:color w:val="auto"/>
          <w:sz w:val="24"/>
          <w:szCs w:val="24"/>
          <w:highlight w:val="none"/>
        </w:rPr>
        <w:t>7.与本投标有关的正式通讯地址为：</w:t>
      </w:r>
    </w:p>
    <w:p w14:paraId="4DD2A72A">
      <w:pPr>
        <w:ind w:firstLine="480"/>
        <w:rPr>
          <w:color w:val="auto"/>
          <w:sz w:val="24"/>
          <w:szCs w:val="24"/>
          <w:highlight w:val="none"/>
        </w:rPr>
      </w:pPr>
      <w:r>
        <w:rPr>
          <w:rFonts w:hint="eastAsia"/>
          <w:color w:val="auto"/>
          <w:sz w:val="24"/>
          <w:szCs w:val="24"/>
          <w:highlight w:val="none"/>
        </w:rPr>
        <w:t>地     址：</w:t>
      </w:r>
    </w:p>
    <w:p w14:paraId="2563E24E">
      <w:pPr>
        <w:ind w:firstLine="480"/>
        <w:rPr>
          <w:color w:val="auto"/>
          <w:sz w:val="24"/>
          <w:szCs w:val="24"/>
          <w:highlight w:val="none"/>
        </w:rPr>
      </w:pPr>
      <w:r>
        <w:rPr>
          <w:rFonts w:hint="eastAsia"/>
          <w:color w:val="auto"/>
          <w:sz w:val="24"/>
          <w:szCs w:val="24"/>
          <w:highlight w:val="none"/>
        </w:rPr>
        <w:t>邮    编：</w:t>
      </w:r>
    </w:p>
    <w:p w14:paraId="03EDA155">
      <w:pPr>
        <w:ind w:firstLine="480"/>
        <w:rPr>
          <w:color w:val="auto"/>
          <w:sz w:val="24"/>
          <w:szCs w:val="24"/>
          <w:highlight w:val="none"/>
        </w:rPr>
      </w:pPr>
      <w:r>
        <w:rPr>
          <w:rFonts w:hint="eastAsia"/>
          <w:color w:val="auto"/>
          <w:sz w:val="24"/>
          <w:szCs w:val="24"/>
          <w:highlight w:val="none"/>
        </w:rPr>
        <w:t>电     话：</w:t>
      </w:r>
    </w:p>
    <w:p w14:paraId="4E52E8EF">
      <w:pPr>
        <w:ind w:firstLine="480"/>
        <w:rPr>
          <w:color w:val="auto"/>
          <w:sz w:val="24"/>
          <w:szCs w:val="24"/>
          <w:highlight w:val="none"/>
        </w:rPr>
      </w:pPr>
      <w:r>
        <w:rPr>
          <w:rFonts w:hint="eastAsia"/>
          <w:color w:val="auto"/>
          <w:sz w:val="24"/>
          <w:szCs w:val="24"/>
          <w:highlight w:val="none"/>
        </w:rPr>
        <w:t>传     真：</w:t>
      </w:r>
    </w:p>
    <w:p w14:paraId="5DBEF55C">
      <w:pPr>
        <w:ind w:firstLine="480"/>
        <w:rPr>
          <w:color w:val="auto"/>
          <w:sz w:val="24"/>
          <w:szCs w:val="24"/>
          <w:highlight w:val="none"/>
        </w:rPr>
      </w:pPr>
      <w:r>
        <w:rPr>
          <w:rFonts w:hint="eastAsia"/>
          <w:color w:val="auto"/>
          <w:sz w:val="24"/>
          <w:szCs w:val="24"/>
          <w:highlight w:val="none"/>
        </w:rPr>
        <w:t>供应商开户行：</w:t>
      </w:r>
    </w:p>
    <w:p w14:paraId="01D7B0C7">
      <w:pPr>
        <w:ind w:firstLine="480"/>
        <w:rPr>
          <w:color w:val="auto"/>
          <w:sz w:val="24"/>
          <w:szCs w:val="24"/>
          <w:highlight w:val="none"/>
        </w:rPr>
      </w:pPr>
      <w:r>
        <w:rPr>
          <w:rFonts w:hint="eastAsia"/>
          <w:color w:val="auto"/>
          <w:sz w:val="24"/>
          <w:szCs w:val="24"/>
          <w:highlight w:val="none"/>
        </w:rPr>
        <w:t xml:space="preserve">账     号： </w:t>
      </w:r>
    </w:p>
    <w:p w14:paraId="1820706C">
      <w:pPr>
        <w:ind w:firstLine="420"/>
        <w:rPr>
          <w:color w:val="auto"/>
          <w:highlight w:val="none"/>
        </w:rPr>
      </w:pPr>
      <w:r>
        <w:rPr>
          <w:rFonts w:hint="eastAsia"/>
          <w:color w:val="auto"/>
          <w:sz w:val="24"/>
          <w:szCs w:val="24"/>
          <w:highlight w:val="none"/>
        </w:rPr>
        <w:t>日     期：______年____月____日</w:t>
      </w:r>
    </w:p>
    <w:p w14:paraId="0E909B72">
      <w:pPr>
        <w:ind w:firstLine="420"/>
        <w:rPr>
          <w:color w:val="auto"/>
          <w:highlight w:val="none"/>
        </w:rPr>
      </w:pPr>
    </w:p>
    <w:p w14:paraId="3A0FB8C8">
      <w:pPr>
        <w:ind w:firstLine="420"/>
        <w:rPr>
          <w:color w:val="auto"/>
          <w:highlight w:val="none"/>
        </w:rPr>
      </w:pPr>
    </w:p>
    <w:p w14:paraId="17F13C60">
      <w:pPr>
        <w:ind w:firstLine="420"/>
        <w:rPr>
          <w:color w:val="auto"/>
          <w:highlight w:val="none"/>
        </w:rPr>
      </w:pPr>
    </w:p>
    <w:p w14:paraId="5241EE04">
      <w:pPr>
        <w:spacing w:line="0" w:lineRule="atLeast"/>
        <w:rPr>
          <w:rFonts w:ascii="宋体" w:hAnsi="宋体"/>
          <w:color w:val="auto"/>
          <w:sz w:val="24"/>
          <w:szCs w:val="24"/>
          <w:highlight w:val="none"/>
        </w:rPr>
      </w:pPr>
    </w:p>
    <w:p w14:paraId="0056717B">
      <w:pPr>
        <w:spacing w:line="0" w:lineRule="atLeast"/>
        <w:ind w:firstLine="420"/>
        <w:rPr>
          <w:rFonts w:ascii="宋体" w:hAnsi="宋体"/>
          <w:color w:val="auto"/>
          <w:sz w:val="24"/>
          <w:szCs w:val="24"/>
          <w:highlight w:val="none"/>
        </w:rPr>
      </w:pPr>
    </w:p>
    <w:p w14:paraId="47AA1576">
      <w:pPr>
        <w:spacing w:line="0" w:lineRule="atLeast"/>
        <w:ind w:firstLine="420"/>
        <w:rPr>
          <w:rFonts w:ascii="宋体" w:hAnsi="宋体"/>
          <w:color w:val="auto"/>
          <w:sz w:val="24"/>
          <w:szCs w:val="24"/>
          <w:highlight w:val="none"/>
        </w:rPr>
      </w:pPr>
    </w:p>
    <w:p w14:paraId="095F0949">
      <w:pPr>
        <w:pStyle w:val="42"/>
        <w:ind w:left="0" w:leftChars="0" w:firstLine="0" w:firstLineChars="0"/>
        <w:rPr>
          <w:color w:val="auto"/>
          <w:highlight w:val="none"/>
        </w:rPr>
      </w:pPr>
    </w:p>
    <w:p w14:paraId="52F40A88">
      <w:pPr>
        <w:spacing w:line="0" w:lineRule="atLeast"/>
        <w:rPr>
          <w:rFonts w:ascii="宋体" w:hAnsi="宋体"/>
          <w:color w:val="auto"/>
          <w:sz w:val="24"/>
          <w:szCs w:val="24"/>
          <w:highlight w:val="none"/>
        </w:rPr>
      </w:pPr>
    </w:p>
    <w:p w14:paraId="463A857F">
      <w:pPr>
        <w:snapToGrid w:val="0"/>
        <w:spacing w:before="50" w:after="50"/>
        <w:jc w:val="center"/>
        <w:rPr>
          <w:rFonts w:hint="eastAsia" w:ascii="黑体" w:eastAsia="黑体"/>
          <w:color w:val="auto"/>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6123A06">
      <w:pPr>
        <w:ind w:firstLine="560"/>
        <w:jc w:val="center"/>
        <w:rPr>
          <w:rFonts w:hint="eastAsia" w:ascii="宋体" w:hAnsi="宋体" w:eastAsia="宋体" w:cs="宋体"/>
          <w:i/>
          <w:color w:val="auto"/>
          <w:sz w:val="32"/>
          <w:szCs w:val="32"/>
          <w:highlight w:val="none"/>
          <w:u w:val="single"/>
        </w:rPr>
      </w:pPr>
      <w:r>
        <w:rPr>
          <w:rFonts w:hint="eastAsia" w:ascii="宋体" w:hAnsi="宋体" w:cs="宋体"/>
          <w:i/>
          <w:color w:val="auto"/>
          <w:sz w:val="32"/>
          <w:szCs w:val="32"/>
          <w:highlight w:val="none"/>
          <w:u w:val="single"/>
          <w:lang w:val="en-US" w:eastAsia="zh-CN"/>
        </w:rPr>
        <w:t>十</w:t>
      </w:r>
      <w:r>
        <w:rPr>
          <w:rFonts w:hint="eastAsia" w:ascii="宋体" w:hAnsi="宋体" w:eastAsia="宋体" w:cs="宋体"/>
          <w:i/>
          <w:color w:val="auto"/>
          <w:sz w:val="32"/>
          <w:szCs w:val="32"/>
          <w:highlight w:val="none"/>
          <w:u w:val="single"/>
        </w:rPr>
        <w:t>、中小企业声明函（服务）</w:t>
      </w:r>
    </w:p>
    <w:p w14:paraId="1F0BE6E1">
      <w:pPr>
        <w:spacing w:line="500" w:lineRule="exact"/>
        <w:ind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kern w:val="0"/>
          <w:sz w:val="24"/>
          <w:szCs w:val="24"/>
          <w:highlight w:val="none"/>
          <w:lang w:val="en-US" w:eastAsia="zh-CN"/>
        </w:rPr>
        <w:t>滨海县公安局</w:t>
      </w:r>
      <w:r>
        <w:rPr>
          <w:rFonts w:hint="eastAsia" w:ascii="宋体" w:hAnsi="宋体" w:eastAsia="宋体" w:cs="宋体"/>
          <w:color w:val="auto"/>
          <w:kern w:val="0"/>
          <w:sz w:val="24"/>
          <w:szCs w:val="24"/>
          <w:highlight w:val="none"/>
        </w:rPr>
        <w:t>组织的</w:t>
      </w:r>
      <w:r>
        <w:rPr>
          <w:rFonts w:hint="eastAsia" w:ascii="宋体" w:hAnsi="宋体" w:eastAsia="宋体" w:cs="宋体"/>
          <w:i/>
          <w:iCs/>
          <w:color w:val="auto"/>
          <w:kern w:val="0"/>
          <w:sz w:val="24"/>
          <w:szCs w:val="24"/>
          <w:highlight w:val="none"/>
          <w:u w:val="single"/>
        </w:rPr>
        <w:t>（单位名称）</w:t>
      </w:r>
      <w:r>
        <w:rPr>
          <w:rFonts w:hint="eastAsia" w:ascii="宋体" w:hAnsi="宋体" w:eastAsia="宋体" w:cs="宋体"/>
          <w:color w:val="auto"/>
          <w:kern w:val="0"/>
          <w:sz w:val="24"/>
          <w:szCs w:val="20"/>
          <w:highlight w:val="none"/>
        </w:rPr>
        <w:t>，</w:t>
      </w:r>
      <w:r>
        <w:rPr>
          <w:rFonts w:hint="eastAsia" w:ascii="宋体" w:hAnsi="宋体" w:eastAsia="宋体" w:cs="宋体"/>
          <w:color w:val="auto"/>
          <w:kern w:val="0"/>
          <w:sz w:val="24"/>
          <w:szCs w:val="24"/>
          <w:highlight w:val="none"/>
        </w:rPr>
        <w:t>采购编号为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lang w:val="en-US" w:eastAsia="zh-CN"/>
        </w:rPr>
        <w:t>的</w:t>
      </w:r>
      <w:r>
        <w:rPr>
          <w:rFonts w:hint="eastAsia" w:ascii="宋体" w:hAnsi="宋体" w:eastAsia="宋体" w:cs="宋体"/>
          <w:i/>
          <w:iCs/>
          <w:color w:val="auto"/>
          <w:kern w:val="0"/>
          <w:sz w:val="24"/>
          <w:szCs w:val="24"/>
          <w:highlight w:val="none"/>
          <w:u w:val="single"/>
        </w:rPr>
        <w:t>（项目名称）</w:t>
      </w:r>
      <w:r>
        <w:rPr>
          <w:rFonts w:hint="eastAsia" w:ascii="宋体" w:hAnsi="宋体" w:eastAsia="宋体" w:cs="宋体"/>
          <w:color w:val="auto"/>
          <w:kern w:val="0"/>
          <w:sz w:val="24"/>
          <w:szCs w:val="24"/>
          <w:highlight w:val="none"/>
        </w:rPr>
        <w:t>的采购活动，服务全部由符合政策要求的中小企业承接。相关企业（含联合体中的中小企业、签订分包意向协议的中小企业）的具体情况如下：</w:t>
      </w:r>
    </w:p>
    <w:p w14:paraId="648B0BBD">
      <w:pPr>
        <w:numPr>
          <w:ilvl w:val="0"/>
          <w:numId w:val="2"/>
        </w:numPr>
        <w:spacing w:line="500" w:lineRule="exact"/>
        <w:ind w:firstLine="480"/>
        <w:jc w:val="both"/>
        <w:rPr>
          <w:rFonts w:hint="eastAsia" w:ascii="宋体" w:hAnsi="宋体" w:eastAsia="宋体" w:cs="宋体"/>
          <w:color w:val="auto"/>
          <w:kern w:val="0"/>
          <w:sz w:val="24"/>
          <w:szCs w:val="24"/>
          <w:highlight w:val="none"/>
        </w:rPr>
      </w:pPr>
      <w:r>
        <w:rPr>
          <w:rFonts w:hint="eastAsia" w:ascii="宋体" w:hAnsi="宋体" w:eastAsia="宋体" w:cs="宋体"/>
          <w:i/>
          <w:iCs/>
          <w:color w:val="auto"/>
          <w:kern w:val="0"/>
          <w:sz w:val="24"/>
          <w:szCs w:val="24"/>
          <w:highlight w:val="none"/>
          <w:u w:val="single"/>
        </w:rPr>
        <w:t>（标的名称）</w:t>
      </w:r>
      <w:r>
        <w:rPr>
          <w:rFonts w:hint="eastAsia" w:ascii="宋体" w:hAnsi="宋体" w:eastAsia="宋体" w:cs="宋体"/>
          <w:color w:val="auto"/>
          <w:kern w:val="0"/>
          <w:sz w:val="24"/>
          <w:szCs w:val="24"/>
          <w:highlight w:val="none"/>
        </w:rPr>
        <w:t xml:space="preserve"> ，属于</w:t>
      </w:r>
      <w:r>
        <w:rPr>
          <w:rFonts w:hint="eastAsia" w:ascii="宋体" w:hAnsi="宋体" w:eastAsia="宋体" w:cs="宋体"/>
          <w:i/>
          <w:iCs/>
          <w:color w:val="auto"/>
          <w:kern w:val="0"/>
          <w:sz w:val="24"/>
          <w:szCs w:val="24"/>
          <w:highlight w:val="none"/>
          <w:u w:val="single"/>
        </w:rPr>
        <w:t>（采购文件中明确的所属行业）</w:t>
      </w:r>
      <w:r>
        <w:rPr>
          <w:rFonts w:hint="eastAsia" w:ascii="宋体" w:hAnsi="宋体" w:eastAsia="宋体" w:cs="宋体"/>
          <w:color w:val="auto"/>
          <w:kern w:val="0"/>
          <w:sz w:val="24"/>
          <w:szCs w:val="24"/>
          <w:highlight w:val="none"/>
        </w:rPr>
        <w:t>；承建（承接）企业为</w:t>
      </w:r>
      <w:r>
        <w:rPr>
          <w:rFonts w:hint="eastAsia" w:ascii="宋体" w:hAnsi="宋体" w:eastAsia="宋体" w:cs="宋体"/>
          <w:i/>
          <w:iCs/>
          <w:color w:val="auto"/>
          <w:kern w:val="0"/>
          <w:sz w:val="24"/>
          <w:szCs w:val="24"/>
          <w:highlight w:val="none"/>
          <w:u w:val="single"/>
        </w:rPr>
        <w:t>（企业名称）</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人，营业收入为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i/>
          <w:iCs/>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54D0A7B5">
      <w:pPr>
        <w:numPr>
          <w:ilvl w:val="0"/>
          <w:numId w:val="2"/>
        </w:numPr>
        <w:spacing w:line="500" w:lineRule="exact"/>
        <w:ind w:left="0" w:firstLine="480"/>
        <w:jc w:val="both"/>
        <w:rPr>
          <w:rFonts w:hint="eastAsia" w:ascii="宋体" w:hAnsi="宋体" w:eastAsia="宋体" w:cs="宋体"/>
          <w:color w:val="auto"/>
          <w:kern w:val="0"/>
          <w:sz w:val="24"/>
          <w:szCs w:val="24"/>
          <w:highlight w:val="none"/>
        </w:rPr>
      </w:pPr>
      <w:r>
        <w:rPr>
          <w:rFonts w:hint="eastAsia" w:ascii="宋体" w:hAnsi="宋体" w:eastAsia="宋体" w:cs="宋体"/>
          <w:i/>
          <w:iCs/>
          <w:color w:val="auto"/>
          <w:kern w:val="0"/>
          <w:sz w:val="24"/>
          <w:szCs w:val="24"/>
          <w:highlight w:val="none"/>
          <w:u w:val="single"/>
        </w:rPr>
        <w:t>（标的名称）</w:t>
      </w:r>
      <w:r>
        <w:rPr>
          <w:rFonts w:hint="eastAsia" w:ascii="宋体" w:hAnsi="宋体" w:eastAsia="宋体" w:cs="宋体"/>
          <w:color w:val="auto"/>
          <w:kern w:val="0"/>
          <w:sz w:val="24"/>
          <w:szCs w:val="24"/>
          <w:highlight w:val="none"/>
        </w:rPr>
        <w:t xml:space="preserve"> ，属于</w:t>
      </w:r>
      <w:r>
        <w:rPr>
          <w:rFonts w:hint="eastAsia" w:ascii="宋体" w:hAnsi="宋体" w:eastAsia="宋体" w:cs="宋体"/>
          <w:i/>
          <w:iCs/>
          <w:color w:val="auto"/>
          <w:kern w:val="0"/>
          <w:sz w:val="24"/>
          <w:szCs w:val="24"/>
          <w:highlight w:val="none"/>
          <w:u w:val="single"/>
        </w:rPr>
        <w:t>（采购文件中明确的所属行业）</w:t>
      </w:r>
      <w:r>
        <w:rPr>
          <w:rFonts w:hint="eastAsia" w:ascii="宋体" w:hAnsi="宋体" w:eastAsia="宋体" w:cs="宋体"/>
          <w:color w:val="auto"/>
          <w:kern w:val="0"/>
          <w:sz w:val="24"/>
          <w:szCs w:val="24"/>
          <w:highlight w:val="none"/>
        </w:rPr>
        <w:t>；承建（承接）企业为</w:t>
      </w:r>
      <w:r>
        <w:rPr>
          <w:rFonts w:hint="eastAsia" w:ascii="宋体" w:hAnsi="宋体" w:eastAsia="宋体" w:cs="宋体"/>
          <w:i/>
          <w:iCs/>
          <w:color w:val="auto"/>
          <w:kern w:val="0"/>
          <w:sz w:val="24"/>
          <w:szCs w:val="24"/>
          <w:highlight w:val="none"/>
          <w:u w:val="single"/>
        </w:rPr>
        <w:t>（企业名称）</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人，营业收入为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i/>
          <w:iCs/>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1ED510AE">
      <w:pPr>
        <w:numPr>
          <w:ilvl w:val="0"/>
          <w:numId w:val="0"/>
        </w:numPr>
        <w:spacing w:line="500" w:lineRule="exact"/>
        <w:ind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14:paraId="56556E0B">
      <w:pPr>
        <w:numPr>
          <w:ilvl w:val="0"/>
          <w:numId w:val="0"/>
        </w:numPr>
        <w:spacing w:line="500" w:lineRule="exact"/>
        <w:ind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5B967F6E">
      <w:pPr>
        <w:numPr>
          <w:ilvl w:val="0"/>
          <w:numId w:val="0"/>
        </w:numPr>
        <w:spacing w:line="500" w:lineRule="exact"/>
        <w:ind w:firstLine="48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本企业对上述声明内容的真实性负责。如有虚假，将依法承担相应责任。</w:t>
      </w:r>
    </w:p>
    <w:p w14:paraId="2C525C2E">
      <w:pPr>
        <w:widowControl w:val="0"/>
        <w:spacing w:beforeAutospacing="0" w:afterAutospacing="0" w:line="0" w:lineRule="atLeast"/>
        <w:ind w:right="72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4FEB9222">
      <w:pPr>
        <w:widowControl w:val="0"/>
        <w:spacing w:beforeAutospacing="0" w:afterAutospacing="0" w:line="0" w:lineRule="atLeast"/>
        <w:ind w:right="180" w:firstLine="360"/>
        <w:jc w:val="righ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企业名称（加盖CA电子公章）：</w:t>
      </w:r>
    </w:p>
    <w:p w14:paraId="25EBCFB5">
      <w:pPr>
        <w:widowControl w:val="0"/>
        <w:spacing w:beforeAutospacing="0" w:afterAutospacing="0" w:line="0" w:lineRule="atLeast"/>
        <w:ind w:right="480" w:firstLine="54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  期：</w:t>
      </w:r>
    </w:p>
    <w:p w14:paraId="787F8409">
      <w:pPr>
        <w:widowControl w:val="0"/>
        <w:spacing w:beforeAutospacing="0" w:afterAutospacing="0" w:line="0" w:lineRule="atLeast"/>
        <w:ind w:firstLine="24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648A26D7">
      <w:pPr>
        <w:widowControl w:val="0"/>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备注1：从业人员、营业收入、资产总额填报上一年度数据，无上一年度数据的新成立企业可不填报。</w:t>
      </w:r>
    </w:p>
    <w:p w14:paraId="287B51FA">
      <w:pPr>
        <w:widowControl w:val="0"/>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备注2：供应商如不提供此声明函，价格将不做相应扣除（如项目全面面向中小企业，则资格审查不通过）。</w:t>
      </w:r>
    </w:p>
    <w:p w14:paraId="5D65BEE6">
      <w:pPr>
        <w:widowControl w:val="0"/>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备注3：</w:t>
      </w:r>
      <w:r>
        <w:rPr>
          <w:rFonts w:hint="eastAsia" w:ascii="宋体" w:hAnsi="宋体" w:eastAsia="宋体" w:cs="宋体"/>
          <w:color w:val="auto"/>
          <w:sz w:val="24"/>
          <w:szCs w:val="24"/>
          <w:highlight w:val="none"/>
          <w:u w:val="single"/>
          <w:lang w:val="en-US" w:eastAsia="zh-CN" w:bidi="ar-SA"/>
        </w:rPr>
        <w:t>本项目采购标的对应的中小企业划分标准所属行业：软件和信息技术服务业。中小企业划型标准按照《关于印发中小企业划型标准规定的通知》（工信部联企业〔2011〕300号）执行。</w:t>
      </w:r>
    </w:p>
    <w:p w14:paraId="7BA375AA">
      <w:pPr>
        <w:spacing w:line="500" w:lineRule="exact"/>
        <w:ind w:firstLine="480"/>
        <w:rPr>
          <w:rFonts w:hint="eastAsia" w:ascii="宋体" w:hAnsi="宋体" w:eastAsia="宋体" w:cs="宋体"/>
          <w:color w:val="auto"/>
          <w:sz w:val="24"/>
          <w:highlight w:val="none"/>
        </w:rPr>
      </w:pPr>
    </w:p>
    <w:p w14:paraId="194DA13D">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395D3CA3">
      <w:pPr>
        <w:pStyle w:val="100"/>
        <w:ind w:left="0" w:leftChars="0" w:firstLine="0" w:firstLineChars="0"/>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一</w:t>
      </w:r>
      <w:r>
        <w:rPr>
          <w:rFonts w:hint="eastAsia" w:ascii="宋体" w:hAnsi="宋体" w:eastAsia="宋体" w:cs="宋体"/>
          <w:i/>
          <w:color w:val="auto"/>
          <w:sz w:val="32"/>
          <w:szCs w:val="32"/>
          <w:highlight w:val="none"/>
          <w:u w:val="single"/>
        </w:rPr>
        <w:t>、残疾人福利性单位声明函</w:t>
      </w:r>
    </w:p>
    <w:p w14:paraId="382BDB2E">
      <w:pPr>
        <w:widowControl w:val="0"/>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项目（分包号：**）采购活动由本单位提供服务。</w:t>
      </w:r>
    </w:p>
    <w:p w14:paraId="0D63A0A8">
      <w:pPr>
        <w:widowControl w:val="0"/>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本单位对上述声明的真实性负责。如有虚假，将依法承担相应责任。</w:t>
      </w:r>
    </w:p>
    <w:p w14:paraId="59AAC8D2">
      <w:pPr>
        <w:widowControl w:val="0"/>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4259DF23">
      <w:pPr>
        <w:widowControl w:val="0"/>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备注：1、供应商如不提供此声明函，价格将不做相应扣除（如项目全面面向中小企业，则资格审查不通过）。</w:t>
      </w:r>
    </w:p>
    <w:p w14:paraId="66624EE3">
      <w:pPr>
        <w:widowControl w:val="0"/>
        <w:spacing w:beforeAutospacing="0" w:afterAutospacing="0" w:line="0" w:lineRule="atLeas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2、中标人为残疾人福利单位的，此声明函将随中标结果同时公告，接受社会监督</w:t>
      </w:r>
    </w:p>
    <w:p w14:paraId="67024BC8">
      <w:pPr>
        <w:widowControl w:val="0"/>
        <w:spacing w:beforeAutospacing="0" w:afterAutospacing="0" w:line="0" w:lineRule="atLeast"/>
        <w:ind w:firstLine="624"/>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0178445A">
      <w:pPr>
        <w:widowControl w:val="0"/>
        <w:tabs>
          <w:tab w:val="left" w:pos="4864"/>
        </w:tabs>
        <w:spacing w:beforeAutospacing="0" w:afterAutospacing="0" w:line="0" w:lineRule="atLeast"/>
        <w:ind w:right="1560" w:firstLine="624"/>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30"/>
          <w:szCs w:val="30"/>
          <w:highlight w:val="none"/>
          <w:lang w:val="en-US" w:eastAsia="zh-CN" w:bidi="ar-SA"/>
        </w:rPr>
        <w:t>        </w:t>
      </w:r>
      <w:r>
        <w:rPr>
          <w:rFonts w:hint="eastAsia" w:ascii="宋体" w:hAnsi="宋体" w:eastAsia="宋体" w:cs="宋体"/>
          <w:color w:val="auto"/>
          <w:sz w:val="24"/>
          <w:szCs w:val="24"/>
          <w:highlight w:val="none"/>
          <w:lang w:val="en-US" w:eastAsia="zh-CN" w:bidi="ar-SA"/>
        </w:rPr>
        <w:t>供应商全称（加盖CA电子公章）：</w:t>
      </w:r>
    </w:p>
    <w:p w14:paraId="3427CECC">
      <w:pPr>
        <w:widowControl w:val="0"/>
        <w:tabs>
          <w:tab w:val="left" w:pos="4864"/>
        </w:tabs>
        <w:spacing w:beforeAutospacing="0" w:afterAutospacing="0" w:line="0" w:lineRule="atLeast"/>
        <w:ind w:right="1560"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p>
    <w:p w14:paraId="7FB9AB2C">
      <w:pPr>
        <w:widowControl w:val="0"/>
        <w:tabs>
          <w:tab w:val="left" w:pos="4864"/>
        </w:tabs>
        <w:spacing w:beforeAutospacing="0" w:afterAutospacing="0" w:line="0" w:lineRule="atLeast"/>
        <w:ind w:right="1560" w:firstLine="48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日  期：</w:t>
      </w:r>
    </w:p>
    <w:p w14:paraId="1A2E621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A796CB0">
      <w:pPr>
        <w:spacing w:line="500" w:lineRule="exact"/>
        <w:ind w:firstLine="480"/>
        <w:jc w:val="center"/>
        <w:rPr>
          <w:rFonts w:hint="eastAsia" w:ascii="宋体" w:hAnsi="宋体" w:eastAsia="宋体" w:cs="宋体"/>
          <w:color w:val="auto"/>
          <w:sz w:val="24"/>
          <w:szCs w:val="24"/>
          <w:highlight w:val="non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二</w:t>
      </w:r>
      <w:r>
        <w:rPr>
          <w:rFonts w:hint="eastAsia" w:ascii="宋体" w:hAnsi="宋体" w:eastAsia="宋体" w:cs="宋体"/>
          <w:i/>
          <w:color w:val="auto"/>
          <w:sz w:val="32"/>
          <w:szCs w:val="32"/>
          <w:highlight w:val="none"/>
          <w:u w:val="single"/>
        </w:rPr>
        <w:t>、技术要求响应及偏离表</w:t>
      </w:r>
    </w:p>
    <w:tbl>
      <w:tblPr>
        <w:tblStyle w:val="44"/>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02F539E9">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5A47FACB">
            <w:pPr>
              <w:pStyle w:val="123"/>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1A6D46E">
            <w:pPr>
              <w:pStyle w:val="123"/>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招标文件要求</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716E998B">
            <w:pPr>
              <w:pStyle w:val="123"/>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投标响应情况</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E56B0D0">
            <w:pPr>
              <w:pStyle w:val="123"/>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超出、符合或偏离</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234AE82">
            <w:pPr>
              <w:pStyle w:val="123"/>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证明材料</w:t>
            </w:r>
          </w:p>
        </w:tc>
      </w:tr>
      <w:tr w14:paraId="2DC76DAB">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8B2D50B">
            <w:pPr>
              <w:pStyle w:val="123"/>
              <w:spacing w:line="500" w:lineRule="exact"/>
              <w:ind w:firstLine="480"/>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16A00927">
            <w:pPr>
              <w:pStyle w:val="123"/>
              <w:spacing w:line="500" w:lineRule="exact"/>
              <w:ind w:firstLine="480"/>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562C5826">
            <w:pPr>
              <w:pStyle w:val="123"/>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8A780C5">
            <w:pPr>
              <w:pStyle w:val="123"/>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87ED10E">
            <w:pPr>
              <w:pStyle w:val="123"/>
              <w:spacing w:line="500" w:lineRule="exact"/>
              <w:ind w:firstLine="480"/>
              <w:rPr>
                <w:rFonts w:hint="eastAsia" w:ascii="宋体" w:hAnsi="宋体" w:eastAsia="宋体" w:cs="宋体"/>
                <w:color w:val="auto"/>
                <w:szCs w:val="24"/>
                <w:highlight w:val="none"/>
              </w:rPr>
            </w:pPr>
          </w:p>
        </w:tc>
      </w:tr>
      <w:tr w14:paraId="32419FB8">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7E5CD03E">
            <w:pPr>
              <w:pStyle w:val="123"/>
              <w:spacing w:line="500" w:lineRule="exact"/>
              <w:ind w:firstLine="480"/>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090D0462">
            <w:pPr>
              <w:pStyle w:val="123"/>
              <w:spacing w:line="500" w:lineRule="exact"/>
              <w:ind w:firstLine="480"/>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7006DC6B">
            <w:pPr>
              <w:pStyle w:val="123"/>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A2E9E71">
            <w:pPr>
              <w:pStyle w:val="123"/>
              <w:spacing w:line="500" w:lineRule="exact"/>
              <w:ind w:firstLine="480"/>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0FF68885">
            <w:pPr>
              <w:pStyle w:val="123"/>
              <w:spacing w:line="500" w:lineRule="exact"/>
              <w:ind w:firstLine="480"/>
              <w:rPr>
                <w:rFonts w:hint="eastAsia" w:ascii="宋体" w:hAnsi="宋体" w:eastAsia="宋体" w:cs="宋体"/>
                <w:color w:val="auto"/>
                <w:szCs w:val="24"/>
                <w:highlight w:val="none"/>
              </w:rPr>
            </w:pPr>
          </w:p>
        </w:tc>
      </w:tr>
      <w:tr w14:paraId="4312C56E">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2CEE695B">
            <w:pPr>
              <w:pStyle w:val="123"/>
              <w:spacing w:line="500" w:lineRule="exact"/>
              <w:ind w:firstLine="480"/>
              <w:jc w:val="center"/>
              <w:rPr>
                <w:rFonts w:hint="eastAsia" w:ascii="宋体" w:hAnsi="宋体" w:eastAsia="宋体" w:cs="宋体"/>
                <w:color w:val="auto"/>
                <w:szCs w:val="24"/>
                <w:highlight w:val="none"/>
              </w:rPr>
            </w:pP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2D623039">
            <w:pPr>
              <w:pStyle w:val="123"/>
              <w:spacing w:line="500" w:lineRule="exact"/>
              <w:ind w:firstLine="480"/>
              <w:jc w:val="center"/>
              <w:rPr>
                <w:rFonts w:hint="eastAsia" w:ascii="宋体" w:hAnsi="宋体" w:eastAsia="宋体" w:cs="宋体"/>
                <w:color w:val="auto"/>
                <w:szCs w:val="24"/>
                <w:highlight w:val="none"/>
              </w:rPr>
            </w:pP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7762E1B7">
            <w:pPr>
              <w:pStyle w:val="123"/>
              <w:spacing w:line="500" w:lineRule="exact"/>
              <w:ind w:firstLine="480"/>
              <w:jc w:val="center"/>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CB896F3">
            <w:pPr>
              <w:pStyle w:val="123"/>
              <w:spacing w:line="500" w:lineRule="exact"/>
              <w:ind w:firstLine="480"/>
              <w:jc w:val="center"/>
              <w:rPr>
                <w:rFonts w:hint="eastAsia" w:ascii="宋体" w:hAnsi="宋体" w:eastAsia="宋体" w:cs="宋体"/>
                <w:color w:val="auto"/>
                <w:szCs w:val="24"/>
                <w:highlight w:val="none"/>
              </w:rPr>
            </w:pP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0776761">
            <w:pPr>
              <w:pStyle w:val="123"/>
              <w:spacing w:line="500" w:lineRule="exact"/>
              <w:ind w:firstLine="480"/>
              <w:jc w:val="center"/>
              <w:rPr>
                <w:rFonts w:hint="eastAsia" w:ascii="宋体" w:hAnsi="宋体" w:eastAsia="宋体" w:cs="宋体"/>
                <w:color w:val="auto"/>
                <w:szCs w:val="24"/>
                <w:highlight w:val="none"/>
              </w:rPr>
            </w:pPr>
          </w:p>
        </w:tc>
      </w:tr>
      <w:tr w14:paraId="6C6E86D8">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4C4DFBD5">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4E5AEB9F">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56CFB5A3">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6EDDAED">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DB6B481">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62B7220">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02EA89C">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5B325BAC">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2680350F">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16D52AD">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0C7BB26A">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53017C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690B8D22">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11BDA51F">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2C89D0E7">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DD98566">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742A7A8">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F2B67F3">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200A9E6B">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6DB1193D">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22F72063">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4186B782">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3C9DF3B8">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CCDA13A">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noWrap w:val="0"/>
            <w:vAlign w:val="center"/>
          </w:tcPr>
          <w:p w14:paraId="12724E6E">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509" w:type="dxa"/>
            <w:tcBorders>
              <w:top w:val="single" w:color="000000" w:sz="4" w:space="0"/>
              <w:left w:val="single" w:color="000000" w:sz="4" w:space="0"/>
              <w:bottom w:val="single" w:color="000000" w:sz="4" w:space="0"/>
              <w:right w:val="single" w:color="000000" w:sz="4" w:space="0"/>
            </w:tcBorders>
            <w:noWrap w:val="0"/>
            <w:vAlign w:val="center"/>
          </w:tcPr>
          <w:p w14:paraId="14B33E64">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372" w:type="dxa"/>
            <w:tcBorders>
              <w:top w:val="single" w:color="000000" w:sz="4" w:space="0"/>
              <w:left w:val="single" w:color="000000" w:sz="4" w:space="0"/>
              <w:bottom w:val="single" w:color="000000" w:sz="4" w:space="0"/>
              <w:right w:val="single" w:color="000000" w:sz="4" w:space="0"/>
            </w:tcBorders>
            <w:noWrap w:val="0"/>
            <w:vAlign w:val="center"/>
          </w:tcPr>
          <w:p w14:paraId="50AC0B08">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35C5A5B">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779" w:type="dxa"/>
            <w:tcBorders>
              <w:top w:val="single" w:color="000000" w:sz="4" w:space="0"/>
              <w:left w:val="single" w:color="000000" w:sz="4" w:space="0"/>
              <w:bottom w:val="single" w:color="000000" w:sz="4" w:space="0"/>
              <w:right w:val="single" w:color="000000" w:sz="4" w:space="0"/>
            </w:tcBorders>
            <w:noWrap w:val="0"/>
            <w:vAlign w:val="center"/>
          </w:tcPr>
          <w:p w14:paraId="09B83D47">
            <w:pPr>
              <w:pStyle w:val="123"/>
              <w:spacing w:line="500" w:lineRule="exact"/>
              <w:ind w:firstLine="480"/>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3957BCB4">
      <w:pPr>
        <w:rPr>
          <w:rFonts w:hint="eastAsia"/>
          <w:color w:val="auto"/>
          <w:highlight w:val="none"/>
        </w:rPr>
      </w:pPr>
      <w:r>
        <w:rPr>
          <w:rFonts w:hint="eastAsia" w:ascii="宋体" w:hAnsi="宋体" w:eastAsia="宋体" w:cs="宋体"/>
          <w:color w:val="auto"/>
          <w:highlight w:val="none"/>
        </w:rPr>
        <w:t>注： 行数不够，可自行添加。</w:t>
      </w:r>
    </w:p>
    <w:p w14:paraId="0913ED0C">
      <w:pPr>
        <w:rPr>
          <w:rFonts w:hint="eastAsia"/>
          <w:color w:val="auto"/>
          <w:highlight w:val="none"/>
        </w:rPr>
      </w:pPr>
      <w:r>
        <w:rPr>
          <w:rFonts w:hint="eastAsia"/>
          <w:color w:val="auto"/>
          <w:highlight w:val="none"/>
        </w:rPr>
        <w:br w:type="page"/>
      </w:r>
    </w:p>
    <w:p w14:paraId="1F1EF46A">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十</w:t>
      </w:r>
      <w:r>
        <w:rPr>
          <w:rFonts w:hint="eastAsia" w:ascii="宋体" w:hAnsi="宋体" w:cs="宋体"/>
          <w:i/>
          <w:color w:val="auto"/>
          <w:sz w:val="32"/>
          <w:szCs w:val="32"/>
          <w:highlight w:val="none"/>
          <w:u w:val="single"/>
          <w:lang w:val="en-US" w:eastAsia="zh-CN"/>
        </w:rPr>
        <w:t>三</w:t>
      </w:r>
      <w:r>
        <w:rPr>
          <w:rFonts w:hint="eastAsia" w:ascii="宋体" w:hAnsi="宋体" w:eastAsia="宋体" w:cs="宋体"/>
          <w:i/>
          <w:color w:val="auto"/>
          <w:sz w:val="32"/>
          <w:szCs w:val="32"/>
          <w:highlight w:val="none"/>
          <w:u w:val="single"/>
          <w:lang w:val="en-US" w:eastAsia="zh-CN"/>
        </w:rPr>
        <w:t>、</w:t>
      </w:r>
      <w:r>
        <w:rPr>
          <w:rFonts w:hint="eastAsia" w:ascii="宋体" w:hAnsi="宋体" w:eastAsia="宋体" w:cs="宋体"/>
          <w:i/>
          <w:color w:val="auto"/>
          <w:sz w:val="32"/>
          <w:szCs w:val="32"/>
          <w:highlight w:val="none"/>
          <w:u w:val="single"/>
        </w:rPr>
        <w:t>项目组成员一览表</w:t>
      </w:r>
    </w:p>
    <w:p w14:paraId="3EEE6BA7">
      <w:pPr>
        <w:rPr>
          <w:rFonts w:hint="eastAsia" w:ascii="宋体" w:hAnsi="宋体" w:eastAsia="宋体" w:cs="宋体"/>
          <w:color w:val="auto"/>
          <w:sz w:val="24"/>
          <w:szCs w:val="24"/>
          <w:highlight w:val="none"/>
        </w:rPr>
      </w:pPr>
    </w:p>
    <w:p w14:paraId="412453A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  </w:t>
      </w:r>
    </w:p>
    <w:p w14:paraId="3ABFAA6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44"/>
        <w:tblW w:w="8985" w:type="dxa"/>
        <w:tblInd w:w="93" w:type="dxa"/>
        <w:tblLayout w:type="fixed"/>
        <w:tblCellMar>
          <w:top w:w="0" w:type="dxa"/>
          <w:left w:w="108" w:type="dxa"/>
          <w:bottom w:w="0" w:type="dxa"/>
          <w:right w:w="108" w:type="dxa"/>
        </w:tblCellMar>
      </w:tblPr>
      <w:tblGrid>
        <w:gridCol w:w="994"/>
        <w:gridCol w:w="1411"/>
        <w:gridCol w:w="915"/>
        <w:gridCol w:w="1174"/>
        <w:gridCol w:w="2266"/>
        <w:gridCol w:w="834"/>
        <w:gridCol w:w="1391"/>
      </w:tblGrid>
      <w:tr w14:paraId="57C4D9BB">
        <w:tblPrEx>
          <w:tblCellMar>
            <w:top w:w="0" w:type="dxa"/>
            <w:left w:w="108" w:type="dxa"/>
            <w:bottom w:w="0" w:type="dxa"/>
            <w:right w:w="108" w:type="dxa"/>
          </w:tblCellMar>
        </w:tblPrEx>
        <w:trPr>
          <w:trHeight w:val="270" w:hRule="atLeast"/>
        </w:trPr>
        <w:tc>
          <w:tcPr>
            <w:tcW w:w="994" w:type="dxa"/>
            <w:tcBorders>
              <w:top w:val="single" w:color="auto" w:sz="4" w:space="0"/>
              <w:left w:val="single" w:color="auto" w:sz="4" w:space="0"/>
              <w:bottom w:val="single" w:color="auto" w:sz="4" w:space="0"/>
              <w:right w:val="single" w:color="auto" w:sz="4" w:space="0"/>
            </w:tcBorders>
            <w:noWrap/>
            <w:vAlign w:val="center"/>
          </w:tcPr>
          <w:p w14:paraId="24A6D30D">
            <w:pPr>
              <w:jc w:val="center"/>
              <w:rPr>
                <w:bCs/>
                <w:color w:val="auto"/>
                <w:sz w:val="28"/>
                <w:szCs w:val="28"/>
                <w:highlight w:val="none"/>
              </w:rPr>
            </w:pPr>
            <w:r>
              <w:rPr>
                <w:rFonts w:hint="eastAsia"/>
                <w:bCs/>
                <w:color w:val="auto"/>
                <w:sz w:val="28"/>
                <w:szCs w:val="28"/>
                <w:highlight w:val="none"/>
              </w:rPr>
              <w:t>序号</w:t>
            </w:r>
          </w:p>
        </w:tc>
        <w:tc>
          <w:tcPr>
            <w:tcW w:w="1411" w:type="dxa"/>
            <w:tcBorders>
              <w:top w:val="single" w:color="auto" w:sz="4" w:space="0"/>
              <w:left w:val="nil"/>
              <w:bottom w:val="single" w:color="auto" w:sz="4" w:space="0"/>
              <w:right w:val="single" w:color="auto" w:sz="4" w:space="0"/>
            </w:tcBorders>
            <w:noWrap/>
            <w:vAlign w:val="center"/>
          </w:tcPr>
          <w:p w14:paraId="57E2269E">
            <w:pPr>
              <w:jc w:val="center"/>
              <w:rPr>
                <w:bCs/>
                <w:color w:val="auto"/>
                <w:sz w:val="28"/>
                <w:szCs w:val="28"/>
                <w:highlight w:val="none"/>
              </w:rPr>
            </w:pPr>
            <w:r>
              <w:rPr>
                <w:rFonts w:hint="eastAsia"/>
                <w:bCs/>
                <w:color w:val="auto"/>
                <w:sz w:val="28"/>
                <w:szCs w:val="28"/>
                <w:highlight w:val="none"/>
              </w:rPr>
              <w:t>岗位名称</w:t>
            </w:r>
          </w:p>
        </w:tc>
        <w:tc>
          <w:tcPr>
            <w:tcW w:w="915" w:type="dxa"/>
            <w:tcBorders>
              <w:top w:val="single" w:color="auto" w:sz="4" w:space="0"/>
              <w:left w:val="nil"/>
              <w:bottom w:val="single" w:color="auto" w:sz="4" w:space="0"/>
              <w:right w:val="single" w:color="auto" w:sz="4" w:space="0"/>
            </w:tcBorders>
            <w:noWrap/>
            <w:vAlign w:val="center"/>
          </w:tcPr>
          <w:p w14:paraId="639554A1">
            <w:pPr>
              <w:jc w:val="center"/>
              <w:rPr>
                <w:bCs/>
                <w:color w:val="auto"/>
                <w:sz w:val="28"/>
                <w:szCs w:val="28"/>
                <w:highlight w:val="none"/>
              </w:rPr>
            </w:pPr>
            <w:r>
              <w:rPr>
                <w:rFonts w:hint="eastAsia"/>
                <w:bCs/>
                <w:color w:val="auto"/>
                <w:sz w:val="28"/>
                <w:szCs w:val="28"/>
                <w:highlight w:val="none"/>
              </w:rPr>
              <w:t>姓名</w:t>
            </w:r>
          </w:p>
        </w:tc>
        <w:tc>
          <w:tcPr>
            <w:tcW w:w="1174" w:type="dxa"/>
            <w:tcBorders>
              <w:top w:val="single" w:color="auto" w:sz="4" w:space="0"/>
              <w:left w:val="nil"/>
              <w:bottom w:val="single" w:color="auto" w:sz="4" w:space="0"/>
              <w:right w:val="single" w:color="auto" w:sz="4" w:space="0"/>
            </w:tcBorders>
            <w:noWrap/>
            <w:vAlign w:val="center"/>
          </w:tcPr>
          <w:p w14:paraId="21DDABF5">
            <w:pPr>
              <w:jc w:val="center"/>
              <w:rPr>
                <w:bCs/>
                <w:color w:val="auto"/>
                <w:sz w:val="28"/>
                <w:szCs w:val="28"/>
                <w:highlight w:val="none"/>
              </w:rPr>
            </w:pPr>
            <w:r>
              <w:rPr>
                <w:rFonts w:hint="eastAsia"/>
                <w:bCs/>
                <w:color w:val="auto"/>
                <w:sz w:val="28"/>
                <w:szCs w:val="28"/>
                <w:highlight w:val="none"/>
              </w:rPr>
              <w:t>年龄</w:t>
            </w:r>
          </w:p>
        </w:tc>
        <w:tc>
          <w:tcPr>
            <w:tcW w:w="2266" w:type="dxa"/>
            <w:tcBorders>
              <w:top w:val="single" w:color="auto" w:sz="4" w:space="0"/>
              <w:left w:val="nil"/>
              <w:bottom w:val="single" w:color="auto" w:sz="4" w:space="0"/>
              <w:right w:val="single" w:color="auto" w:sz="4" w:space="0"/>
            </w:tcBorders>
            <w:noWrap/>
            <w:vAlign w:val="center"/>
          </w:tcPr>
          <w:p w14:paraId="136AED7C">
            <w:pPr>
              <w:jc w:val="center"/>
              <w:rPr>
                <w:bCs/>
                <w:color w:val="auto"/>
                <w:sz w:val="28"/>
                <w:szCs w:val="28"/>
                <w:highlight w:val="none"/>
              </w:rPr>
            </w:pPr>
            <w:r>
              <w:rPr>
                <w:rFonts w:hint="eastAsia"/>
                <w:bCs/>
                <w:color w:val="auto"/>
                <w:sz w:val="28"/>
                <w:szCs w:val="28"/>
                <w:highlight w:val="none"/>
              </w:rPr>
              <w:t>资格或技能证书名称及等级</w:t>
            </w:r>
          </w:p>
        </w:tc>
        <w:tc>
          <w:tcPr>
            <w:tcW w:w="834" w:type="dxa"/>
            <w:tcBorders>
              <w:top w:val="single" w:color="auto" w:sz="4" w:space="0"/>
              <w:left w:val="nil"/>
              <w:bottom w:val="single" w:color="auto" w:sz="4" w:space="0"/>
              <w:right w:val="single" w:color="auto" w:sz="4" w:space="0"/>
            </w:tcBorders>
            <w:noWrap/>
            <w:vAlign w:val="center"/>
          </w:tcPr>
          <w:p w14:paraId="6CCE6A42">
            <w:pPr>
              <w:jc w:val="center"/>
              <w:rPr>
                <w:bCs/>
                <w:color w:val="auto"/>
                <w:sz w:val="28"/>
                <w:szCs w:val="28"/>
                <w:highlight w:val="none"/>
              </w:rPr>
            </w:pPr>
            <w:r>
              <w:rPr>
                <w:rFonts w:hint="eastAsia"/>
                <w:bCs/>
                <w:color w:val="auto"/>
                <w:sz w:val="28"/>
                <w:szCs w:val="28"/>
                <w:highlight w:val="none"/>
              </w:rPr>
              <w:t>学历</w:t>
            </w:r>
          </w:p>
        </w:tc>
        <w:tc>
          <w:tcPr>
            <w:tcW w:w="1391" w:type="dxa"/>
            <w:tcBorders>
              <w:top w:val="single" w:color="auto" w:sz="4" w:space="0"/>
              <w:left w:val="nil"/>
              <w:bottom w:val="single" w:color="auto" w:sz="4" w:space="0"/>
              <w:right w:val="single" w:color="auto" w:sz="4" w:space="0"/>
            </w:tcBorders>
            <w:noWrap/>
            <w:vAlign w:val="center"/>
          </w:tcPr>
          <w:p w14:paraId="4F873FE7">
            <w:pPr>
              <w:jc w:val="center"/>
              <w:rPr>
                <w:bCs/>
                <w:color w:val="auto"/>
                <w:sz w:val="28"/>
                <w:szCs w:val="28"/>
                <w:highlight w:val="none"/>
              </w:rPr>
            </w:pPr>
            <w:r>
              <w:rPr>
                <w:rFonts w:hint="eastAsia"/>
                <w:bCs/>
                <w:color w:val="auto"/>
                <w:sz w:val="28"/>
                <w:szCs w:val="28"/>
                <w:highlight w:val="none"/>
              </w:rPr>
              <w:t>备注</w:t>
            </w:r>
          </w:p>
        </w:tc>
      </w:tr>
      <w:tr w14:paraId="447CF92F">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651DE3FB">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09126938">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786D7AEB">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2453E501">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7AFC6EE6">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41E9C36F">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13BA4754">
            <w:pPr>
              <w:spacing w:line="480" w:lineRule="exact"/>
              <w:rPr>
                <w:color w:val="auto"/>
                <w:highlight w:val="none"/>
              </w:rPr>
            </w:pPr>
            <w:r>
              <w:rPr>
                <w:rFonts w:hint="eastAsia"/>
                <w:color w:val="auto"/>
                <w:highlight w:val="none"/>
              </w:rPr>
              <w:t>　</w:t>
            </w:r>
          </w:p>
        </w:tc>
      </w:tr>
      <w:tr w14:paraId="4AF9E724">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6CF1F518">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49A3CA9F">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38C26920">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0A5F5289">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463841BB">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074A007C">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00FD904E">
            <w:pPr>
              <w:spacing w:line="480" w:lineRule="exact"/>
              <w:rPr>
                <w:color w:val="auto"/>
                <w:highlight w:val="none"/>
              </w:rPr>
            </w:pPr>
            <w:r>
              <w:rPr>
                <w:rFonts w:hint="eastAsia"/>
                <w:color w:val="auto"/>
                <w:highlight w:val="none"/>
              </w:rPr>
              <w:t>　</w:t>
            </w:r>
          </w:p>
        </w:tc>
      </w:tr>
      <w:tr w14:paraId="0A9C4208">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49FFE0BB">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39A69848">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7C67854D">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75AACD58">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49768C17">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6B261BD2">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1E058558">
            <w:pPr>
              <w:spacing w:line="480" w:lineRule="exact"/>
              <w:rPr>
                <w:color w:val="auto"/>
                <w:highlight w:val="none"/>
              </w:rPr>
            </w:pPr>
            <w:r>
              <w:rPr>
                <w:rFonts w:hint="eastAsia"/>
                <w:color w:val="auto"/>
                <w:highlight w:val="none"/>
              </w:rPr>
              <w:t>　</w:t>
            </w:r>
          </w:p>
        </w:tc>
      </w:tr>
      <w:tr w14:paraId="7BAAFBDF">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1459FB66">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0E17A44D">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5DC197C4">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23940D36">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01E37E8A">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09F160CD">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6F1FD73D">
            <w:pPr>
              <w:spacing w:line="480" w:lineRule="exact"/>
              <w:rPr>
                <w:color w:val="auto"/>
                <w:highlight w:val="none"/>
              </w:rPr>
            </w:pPr>
            <w:r>
              <w:rPr>
                <w:rFonts w:hint="eastAsia"/>
                <w:color w:val="auto"/>
                <w:highlight w:val="none"/>
              </w:rPr>
              <w:t>　</w:t>
            </w:r>
          </w:p>
        </w:tc>
      </w:tr>
      <w:tr w14:paraId="1D0CD276">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13A9F6E5">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61EF6DA7">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129BDF2D">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63A21E4F">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63F5EE4F">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45B0A1F3">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1EAFA89A">
            <w:pPr>
              <w:spacing w:line="480" w:lineRule="exact"/>
              <w:rPr>
                <w:color w:val="auto"/>
                <w:highlight w:val="none"/>
              </w:rPr>
            </w:pPr>
            <w:r>
              <w:rPr>
                <w:rFonts w:hint="eastAsia"/>
                <w:color w:val="auto"/>
                <w:highlight w:val="none"/>
              </w:rPr>
              <w:t>　</w:t>
            </w:r>
          </w:p>
        </w:tc>
      </w:tr>
      <w:tr w14:paraId="4066AF1B">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4042DDFE">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6477C593">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4D9803E3">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47082525">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7CF80976">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0EA84CD5">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56572291">
            <w:pPr>
              <w:spacing w:line="480" w:lineRule="exact"/>
              <w:rPr>
                <w:color w:val="auto"/>
                <w:highlight w:val="none"/>
              </w:rPr>
            </w:pPr>
            <w:r>
              <w:rPr>
                <w:rFonts w:hint="eastAsia"/>
                <w:color w:val="auto"/>
                <w:highlight w:val="none"/>
              </w:rPr>
              <w:t>　</w:t>
            </w:r>
          </w:p>
        </w:tc>
      </w:tr>
      <w:tr w14:paraId="70F184D7">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13CFC6ED">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5641A5FB">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4B921354">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34AA7B87">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3B42091E">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56966683">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2D2EB5B8">
            <w:pPr>
              <w:spacing w:line="480" w:lineRule="exact"/>
              <w:rPr>
                <w:color w:val="auto"/>
                <w:highlight w:val="none"/>
              </w:rPr>
            </w:pPr>
            <w:r>
              <w:rPr>
                <w:rFonts w:hint="eastAsia"/>
                <w:color w:val="auto"/>
                <w:highlight w:val="none"/>
              </w:rPr>
              <w:t>　</w:t>
            </w:r>
          </w:p>
        </w:tc>
      </w:tr>
      <w:tr w14:paraId="582EC327">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36CD37FC">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79F2D40B">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18A6272C">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4BD8BE95">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6231E9BA">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6710103B">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571AB58A">
            <w:pPr>
              <w:spacing w:line="480" w:lineRule="exact"/>
              <w:rPr>
                <w:color w:val="auto"/>
                <w:highlight w:val="none"/>
              </w:rPr>
            </w:pPr>
            <w:r>
              <w:rPr>
                <w:rFonts w:hint="eastAsia"/>
                <w:color w:val="auto"/>
                <w:highlight w:val="none"/>
              </w:rPr>
              <w:t>　</w:t>
            </w:r>
          </w:p>
        </w:tc>
      </w:tr>
      <w:tr w14:paraId="58DA3333">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40E41072">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38C7CC78">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4E48757D">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50FC4126">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39D32BB0">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645D5FF7">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744B3EC6">
            <w:pPr>
              <w:spacing w:line="480" w:lineRule="exact"/>
              <w:rPr>
                <w:color w:val="auto"/>
                <w:highlight w:val="none"/>
              </w:rPr>
            </w:pPr>
            <w:r>
              <w:rPr>
                <w:rFonts w:hint="eastAsia"/>
                <w:color w:val="auto"/>
                <w:highlight w:val="none"/>
              </w:rPr>
              <w:t>　</w:t>
            </w:r>
          </w:p>
        </w:tc>
      </w:tr>
      <w:tr w14:paraId="266F83C7">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376A19E2">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32A7A236">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515FDBB5">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48579A64">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0FAD9004">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6007C7FF">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34A96729">
            <w:pPr>
              <w:spacing w:line="480" w:lineRule="exact"/>
              <w:rPr>
                <w:color w:val="auto"/>
                <w:highlight w:val="none"/>
              </w:rPr>
            </w:pPr>
            <w:r>
              <w:rPr>
                <w:rFonts w:hint="eastAsia"/>
                <w:color w:val="auto"/>
                <w:highlight w:val="none"/>
              </w:rPr>
              <w:t>　</w:t>
            </w:r>
          </w:p>
        </w:tc>
      </w:tr>
      <w:tr w14:paraId="6D300F91">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7100A572">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7A64E0D2">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49355425">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2E74CE2D">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0DA37906">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62046CDD">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013EF2BD">
            <w:pPr>
              <w:spacing w:line="480" w:lineRule="exact"/>
              <w:rPr>
                <w:color w:val="auto"/>
                <w:highlight w:val="none"/>
              </w:rPr>
            </w:pPr>
            <w:r>
              <w:rPr>
                <w:rFonts w:hint="eastAsia"/>
                <w:color w:val="auto"/>
                <w:highlight w:val="none"/>
              </w:rPr>
              <w:t>　</w:t>
            </w:r>
          </w:p>
        </w:tc>
      </w:tr>
      <w:tr w14:paraId="4018E20F">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1AAF5639">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5868D21A">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2CF7AB34">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02AC5591">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5691A9ED">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299A804E">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4583125C">
            <w:pPr>
              <w:spacing w:line="480" w:lineRule="exact"/>
              <w:rPr>
                <w:color w:val="auto"/>
                <w:highlight w:val="none"/>
              </w:rPr>
            </w:pPr>
            <w:r>
              <w:rPr>
                <w:rFonts w:hint="eastAsia"/>
                <w:color w:val="auto"/>
                <w:highlight w:val="none"/>
              </w:rPr>
              <w:t>　</w:t>
            </w:r>
          </w:p>
        </w:tc>
      </w:tr>
      <w:tr w14:paraId="5276E932">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1EEE6E0F">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5ABD8E8E">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3C20CB39">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19A0DBAE">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2ECE0497">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161A9444">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76A793BC">
            <w:pPr>
              <w:spacing w:line="480" w:lineRule="exact"/>
              <w:rPr>
                <w:color w:val="auto"/>
                <w:highlight w:val="none"/>
              </w:rPr>
            </w:pPr>
            <w:r>
              <w:rPr>
                <w:rFonts w:hint="eastAsia"/>
                <w:color w:val="auto"/>
                <w:highlight w:val="none"/>
              </w:rPr>
              <w:t>　</w:t>
            </w:r>
          </w:p>
        </w:tc>
      </w:tr>
      <w:tr w14:paraId="39303408">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6C6EEF18">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0E6C6998">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721F81E0">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2962C6A1">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37789F96">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6EFA0811">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6021264E">
            <w:pPr>
              <w:spacing w:line="480" w:lineRule="exact"/>
              <w:rPr>
                <w:color w:val="auto"/>
                <w:highlight w:val="none"/>
              </w:rPr>
            </w:pPr>
            <w:r>
              <w:rPr>
                <w:rFonts w:hint="eastAsia"/>
                <w:color w:val="auto"/>
                <w:highlight w:val="none"/>
              </w:rPr>
              <w:t>　</w:t>
            </w:r>
          </w:p>
        </w:tc>
      </w:tr>
      <w:tr w14:paraId="0A3A3CE7">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57A71ED4">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74D4833F">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74524C5D">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2E45A06B">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0A428F7F">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26CCCD7F">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732BD788">
            <w:pPr>
              <w:spacing w:line="480" w:lineRule="exact"/>
              <w:rPr>
                <w:color w:val="auto"/>
                <w:highlight w:val="none"/>
              </w:rPr>
            </w:pPr>
            <w:r>
              <w:rPr>
                <w:rFonts w:hint="eastAsia"/>
                <w:color w:val="auto"/>
                <w:highlight w:val="none"/>
              </w:rPr>
              <w:t>　</w:t>
            </w:r>
          </w:p>
        </w:tc>
      </w:tr>
      <w:tr w14:paraId="71C5D3E7">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30221C1D">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5EE0D0F4">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17EB411B">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4FCBFBD5">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7CF28371">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66D1D12E">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69DF0B70">
            <w:pPr>
              <w:spacing w:line="480" w:lineRule="exact"/>
              <w:rPr>
                <w:color w:val="auto"/>
                <w:highlight w:val="none"/>
              </w:rPr>
            </w:pPr>
            <w:r>
              <w:rPr>
                <w:rFonts w:hint="eastAsia"/>
                <w:color w:val="auto"/>
                <w:highlight w:val="none"/>
              </w:rPr>
              <w:t>　</w:t>
            </w:r>
          </w:p>
        </w:tc>
      </w:tr>
      <w:tr w14:paraId="28B9E850">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3B54CAD2">
            <w:pPr>
              <w:spacing w:line="480" w:lineRule="exact"/>
              <w:rPr>
                <w:color w:val="auto"/>
                <w:highlight w:val="none"/>
              </w:rPr>
            </w:pPr>
            <w:r>
              <w:rPr>
                <w:rFonts w:hint="eastAsia"/>
                <w:color w:val="auto"/>
                <w:highlight w:val="none"/>
              </w:rPr>
              <w:t>　</w:t>
            </w:r>
          </w:p>
        </w:tc>
        <w:tc>
          <w:tcPr>
            <w:tcW w:w="1411" w:type="dxa"/>
            <w:tcBorders>
              <w:top w:val="nil"/>
              <w:left w:val="nil"/>
              <w:bottom w:val="single" w:color="auto" w:sz="4" w:space="0"/>
              <w:right w:val="single" w:color="auto" w:sz="4" w:space="0"/>
            </w:tcBorders>
            <w:noWrap/>
            <w:vAlign w:val="center"/>
          </w:tcPr>
          <w:p w14:paraId="0D831F58">
            <w:pPr>
              <w:spacing w:line="480" w:lineRule="exact"/>
              <w:rPr>
                <w:color w:val="auto"/>
                <w:highlight w:val="none"/>
              </w:rPr>
            </w:pPr>
            <w:r>
              <w:rPr>
                <w:rFonts w:hint="eastAsia"/>
                <w:color w:val="auto"/>
                <w:highlight w:val="none"/>
              </w:rPr>
              <w:t>　</w:t>
            </w:r>
          </w:p>
        </w:tc>
        <w:tc>
          <w:tcPr>
            <w:tcW w:w="915" w:type="dxa"/>
            <w:tcBorders>
              <w:top w:val="nil"/>
              <w:left w:val="nil"/>
              <w:bottom w:val="single" w:color="auto" w:sz="4" w:space="0"/>
              <w:right w:val="single" w:color="auto" w:sz="4" w:space="0"/>
            </w:tcBorders>
            <w:noWrap/>
            <w:vAlign w:val="center"/>
          </w:tcPr>
          <w:p w14:paraId="375E610C">
            <w:pPr>
              <w:spacing w:line="480" w:lineRule="exact"/>
              <w:rPr>
                <w:color w:val="auto"/>
                <w:highlight w:val="none"/>
              </w:rPr>
            </w:pPr>
            <w:r>
              <w:rPr>
                <w:rFonts w:hint="eastAsia"/>
                <w:color w:val="auto"/>
                <w:highlight w:val="none"/>
              </w:rPr>
              <w:t>　</w:t>
            </w:r>
          </w:p>
        </w:tc>
        <w:tc>
          <w:tcPr>
            <w:tcW w:w="1174" w:type="dxa"/>
            <w:tcBorders>
              <w:top w:val="nil"/>
              <w:left w:val="nil"/>
              <w:bottom w:val="single" w:color="auto" w:sz="4" w:space="0"/>
              <w:right w:val="single" w:color="auto" w:sz="4" w:space="0"/>
            </w:tcBorders>
            <w:noWrap/>
            <w:vAlign w:val="center"/>
          </w:tcPr>
          <w:p w14:paraId="5D9A08D5">
            <w:pPr>
              <w:spacing w:line="480" w:lineRule="exact"/>
              <w:rPr>
                <w:color w:val="auto"/>
                <w:highlight w:val="none"/>
              </w:rPr>
            </w:pPr>
            <w:r>
              <w:rPr>
                <w:rFonts w:hint="eastAsia"/>
                <w:color w:val="auto"/>
                <w:highlight w:val="none"/>
              </w:rPr>
              <w:t>　</w:t>
            </w:r>
          </w:p>
        </w:tc>
        <w:tc>
          <w:tcPr>
            <w:tcW w:w="2266" w:type="dxa"/>
            <w:tcBorders>
              <w:top w:val="nil"/>
              <w:left w:val="nil"/>
              <w:bottom w:val="single" w:color="auto" w:sz="4" w:space="0"/>
              <w:right w:val="single" w:color="auto" w:sz="4" w:space="0"/>
            </w:tcBorders>
            <w:noWrap/>
            <w:vAlign w:val="center"/>
          </w:tcPr>
          <w:p w14:paraId="10A83824">
            <w:pPr>
              <w:spacing w:line="480" w:lineRule="exact"/>
              <w:rPr>
                <w:color w:val="auto"/>
                <w:highlight w:val="none"/>
              </w:rPr>
            </w:pPr>
            <w:r>
              <w:rPr>
                <w:rFonts w:hint="eastAsia"/>
                <w:color w:val="auto"/>
                <w:highlight w:val="none"/>
              </w:rPr>
              <w:t>　</w:t>
            </w:r>
          </w:p>
        </w:tc>
        <w:tc>
          <w:tcPr>
            <w:tcW w:w="834" w:type="dxa"/>
            <w:tcBorders>
              <w:top w:val="nil"/>
              <w:left w:val="nil"/>
              <w:bottom w:val="single" w:color="auto" w:sz="4" w:space="0"/>
              <w:right w:val="single" w:color="auto" w:sz="4" w:space="0"/>
            </w:tcBorders>
            <w:noWrap/>
            <w:vAlign w:val="center"/>
          </w:tcPr>
          <w:p w14:paraId="3D2D543F">
            <w:pPr>
              <w:spacing w:line="480" w:lineRule="exact"/>
              <w:rPr>
                <w:color w:val="auto"/>
                <w:highlight w:val="none"/>
              </w:rPr>
            </w:pPr>
            <w:r>
              <w:rPr>
                <w:rFonts w:hint="eastAsia"/>
                <w:color w:val="auto"/>
                <w:highlight w:val="none"/>
              </w:rPr>
              <w:t>　</w:t>
            </w:r>
          </w:p>
        </w:tc>
        <w:tc>
          <w:tcPr>
            <w:tcW w:w="1391" w:type="dxa"/>
            <w:tcBorders>
              <w:top w:val="nil"/>
              <w:left w:val="nil"/>
              <w:bottom w:val="single" w:color="auto" w:sz="4" w:space="0"/>
              <w:right w:val="single" w:color="auto" w:sz="4" w:space="0"/>
            </w:tcBorders>
            <w:noWrap/>
            <w:vAlign w:val="center"/>
          </w:tcPr>
          <w:p w14:paraId="74B08619">
            <w:pPr>
              <w:spacing w:line="480" w:lineRule="exact"/>
              <w:rPr>
                <w:color w:val="auto"/>
                <w:highlight w:val="none"/>
              </w:rPr>
            </w:pPr>
            <w:r>
              <w:rPr>
                <w:rFonts w:hint="eastAsia"/>
                <w:color w:val="auto"/>
                <w:highlight w:val="none"/>
              </w:rPr>
              <w:t>　</w:t>
            </w:r>
          </w:p>
        </w:tc>
      </w:tr>
    </w:tbl>
    <w:p w14:paraId="05AF9957">
      <w:pPr>
        <w:ind w:left="239" w:firstLine="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注:1、行数不够,自行添加</w:t>
      </w:r>
    </w:p>
    <w:p w14:paraId="167259B1">
      <w:pPr>
        <w:ind w:left="178"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投标时按团队成员序号顺序提供本</w:t>
      </w:r>
      <w:r>
        <w:rPr>
          <w:rFonts w:hint="eastAsia" w:ascii="宋体" w:hAnsi="宋体" w:cs="宋体"/>
          <w:color w:val="auto"/>
          <w:sz w:val="24"/>
          <w:szCs w:val="24"/>
          <w:highlight w:val="none"/>
          <w:lang w:eastAsia="zh-CN"/>
        </w:rPr>
        <w:t>项目</w:t>
      </w:r>
      <w:r>
        <w:rPr>
          <w:rFonts w:hint="eastAsia" w:ascii="宋体" w:hAnsi="宋体" w:eastAsia="宋体" w:cs="宋体"/>
          <w:color w:val="auto"/>
          <w:sz w:val="24"/>
          <w:szCs w:val="24"/>
          <w:highlight w:val="none"/>
        </w:rPr>
        <w:t>运营团队成员身份证、职称、职业资格证、执业资格证书等的原件扫描件</w:t>
      </w:r>
      <w:r>
        <w:rPr>
          <w:rFonts w:hint="eastAsia" w:ascii="宋体" w:hAnsi="宋体" w:cs="宋体"/>
          <w:color w:val="auto"/>
          <w:sz w:val="24"/>
          <w:szCs w:val="24"/>
          <w:highlight w:val="none"/>
          <w:lang w:val="en-US" w:eastAsia="zh-CN"/>
        </w:rPr>
        <w:t>并加盖公章</w:t>
      </w:r>
      <w:r>
        <w:rPr>
          <w:rFonts w:hint="eastAsia" w:ascii="宋体" w:hAnsi="宋体" w:eastAsia="宋体" w:cs="宋体"/>
          <w:color w:val="auto"/>
          <w:sz w:val="24"/>
          <w:szCs w:val="24"/>
          <w:highlight w:val="none"/>
        </w:rPr>
        <w:t>。</w:t>
      </w:r>
    </w:p>
    <w:p w14:paraId="2B51F92E">
      <w:pPr>
        <w:spacing w:before="50" w:after="50"/>
        <w:rPr>
          <w:rFonts w:hint="eastAsia" w:ascii="宋体" w:hAnsi="宋体" w:eastAsia="宋体" w:cs="宋体"/>
          <w:color w:val="auto"/>
          <w:sz w:val="24"/>
          <w:szCs w:val="24"/>
          <w:highlight w:val="none"/>
        </w:rPr>
      </w:pPr>
    </w:p>
    <w:p w14:paraId="74D3349B">
      <w:pPr>
        <w:spacing w:before="50" w:after="50"/>
        <w:ind w:firstLine="120"/>
        <w:jc w:val="right"/>
        <w:rPr>
          <w:rFonts w:hint="eastAsia" w:ascii="宋体" w:hAnsi="宋体" w:eastAsia="宋体" w:cs="宋体"/>
          <w:color w:val="auto"/>
          <w:spacing w:val="20"/>
          <w:sz w:val="24"/>
          <w:highlight w:val="none"/>
          <w:u w:val="single"/>
        </w:rPr>
      </w:pPr>
      <w:r>
        <w:rPr>
          <w:rFonts w:hint="eastAsia" w:ascii="宋体" w:hAnsi="宋体" w:eastAsia="宋体" w:cs="宋体"/>
          <w:color w:val="auto"/>
          <w:sz w:val="24"/>
          <w:highlight w:val="none"/>
        </w:rPr>
        <w:t xml:space="preserve">              </w:t>
      </w:r>
    </w:p>
    <w:p w14:paraId="044381C8">
      <w:pPr>
        <w:spacing w:before="50" w:after="50"/>
        <w:ind w:firstLine="5040"/>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投标人：</w:t>
      </w:r>
      <w:r>
        <w:rPr>
          <w:rFonts w:hint="eastAsia" w:ascii="宋体" w:hAnsi="宋体" w:eastAsia="宋体" w:cs="宋体"/>
          <w:color w:val="auto"/>
          <w:spacing w:val="20"/>
          <w:sz w:val="24"/>
          <w:highlight w:val="none"/>
          <w:u w:val="single"/>
        </w:rPr>
        <w:t>（</w:t>
      </w:r>
      <w:r>
        <w:rPr>
          <w:rFonts w:hint="eastAsia" w:ascii="宋体" w:hAnsi="宋体" w:eastAsia="宋体" w:cs="宋体"/>
          <w:color w:val="auto"/>
          <w:sz w:val="24"/>
          <w:highlight w:val="none"/>
          <w:u w:val="single"/>
        </w:rPr>
        <w:t>加盖CA电子签章</w:t>
      </w:r>
      <w:r>
        <w:rPr>
          <w:rFonts w:hint="eastAsia" w:ascii="宋体" w:hAnsi="宋体" w:eastAsia="宋体" w:cs="宋体"/>
          <w:color w:val="auto"/>
          <w:spacing w:val="20"/>
          <w:sz w:val="24"/>
          <w:highlight w:val="none"/>
          <w:u w:val="single"/>
        </w:rPr>
        <w:t>）</w:t>
      </w:r>
    </w:p>
    <w:p w14:paraId="2111D16B">
      <w:pPr>
        <w:spacing w:before="50" w:after="50"/>
        <w:ind w:firstLine="5040"/>
        <w:rPr>
          <w:rFonts w:hint="eastAsia" w:ascii="宋体" w:hAnsi="宋体" w:eastAsia="宋体" w:cs="宋体"/>
          <w:color w:val="auto"/>
          <w:sz w:val="32"/>
          <w:szCs w:val="32"/>
          <w:highlight w:val="none"/>
        </w:rPr>
      </w:pPr>
      <w:r>
        <w:rPr>
          <w:rFonts w:hint="eastAsia" w:ascii="宋体" w:hAnsi="宋体" w:eastAsia="宋体" w:cs="宋体"/>
          <w:color w:val="auto"/>
          <w:spacing w:val="20"/>
          <w:sz w:val="24"/>
          <w:highlight w:val="none"/>
        </w:rPr>
        <w:t>日</w:t>
      </w:r>
      <w:r>
        <w:rPr>
          <w:rFonts w:hint="eastAsia" w:ascii="宋体" w:hAnsi="宋体" w:eastAsia="宋体" w:cs="宋体"/>
          <w:color w:val="auto"/>
          <w:spacing w:val="20"/>
          <w:sz w:val="24"/>
          <w:highlight w:val="none"/>
          <w:lang w:val="en-US" w:eastAsia="zh-CN"/>
        </w:rPr>
        <w:t xml:space="preserve">  </w:t>
      </w:r>
      <w:r>
        <w:rPr>
          <w:rFonts w:hint="eastAsia" w:ascii="宋体" w:hAnsi="宋体" w:eastAsia="宋体" w:cs="宋体"/>
          <w:color w:val="auto"/>
          <w:spacing w:val="20"/>
          <w:sz w:val="24"/>
          <w:highlight w:val="none"/>
        </w:rPr>
        <w:t>期：</w:t>
      </w:r>
    </w:p>
    <w:p w14:paraId="7E5394BD">
      <w:pPr>
        <w:rPr>
          <w:rFonts w:hint="eastAsia"/>
          <w:color w:val="auto"/>
          <w:highlight w:val="none"/>
        </w:rPr>
      </w:pPr>
      <w:r>
        <w:rPr>
          <w:rFonts w:hint="eastAsia"/>
          <w:color w:val="auto"/>
          <w:highlight w:val="none"/>
        </w:rPr>
        <w:br w:type="page"/>
      </w:r>
    </w:p>
    <w:p w14:paraId="7626FD47">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四</w:t>
      </w:r>
      <w:r>
        <w:rPr>
          <w:rFonts w:hint="eastAsia" w:ascii="宋体" w:hAnsi="宋体" w:eastAsia="宋体" w:cs="宋体"/>
          <w:i/>
          <w:color w:val="auto"/>
          <w:sz w:val="32"/>
          <w:szCs w:val="32"/>
          <w:highlight w:val="none"/>
          <w:u w:val="single"/>
        </w:rPr>
        <w:t>、商务要求响应及偏离表</w:t>
      </w:r>
    </w:p>
    <w:tbl>
      <w:tblPr>
        <w:tblStyle w:val="44"/>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widowControl w:val="0"/>
              <w:spacing w:beforeAutospacing="0" w:afterAutospacing="0"/>
              <w:jc w:val="center"/>
              <w:rPr>
                <w:rFonts w:ascii="Calibri" w:hAnsi="Calibri" w:eastAsia="宋体" w:cs="Times New Roman"/>
                <w:kern w:val="0"/>
                <w:sz w:val="24"/>
                <w:szCs w:val="24"/>
                <w:highlight w:val="none"/>
                <w:lang w:val="en-US" w:eastAsia="zh-CN" w:bidi="ar-SA"/>
              </w:rPr>
            </w:pPr>
            <w:bookmarkStart w:id="165" w:name="_Hlt26955064"/>
            <w:bookmarkStart w:id="166" w:name="_Hlt26955056"/>
            <w:bookmarkStart w:id="167" w:name="_Hlt26580838"/>
            <w:bookmarkStart w:id="168" w:name="_Hlt26671343"/>
            <w:bookmarkStart w:id="169" w:name="_Hlt26609391"/>
            <w:bookmarkStart w:id="170" w:name="_Hlt26671372"/>
            <w:bookmarkStart w:id="171" w:name="_Hlt26782999"/>
            <w:bookmarkStart w:id="172" w:name="_Hlt24879081"/>
            <w:r>
              <w:rPr>
                <w:rFonts w:hint="eastAsia" w:ascii="宋体" w:hAnsi="宋体" w:eastAsia="宋体" w:cs="宋体"/>
                <w:color w:val="000000"/>
                <w:kern w:val="0"/>
                <w:sz w:val="24"/>
                <w:szCs w:val="24"/>
                <w:highlight w:val="none"/>
                <w:lang w:val="en-US" w:eastAsia="zh-CN" w:bidi="ar-SA"/>
              </w:rPr>
              <w:t>序号</w:t>
            </w:r>
          </w:p>
          <w:bookmarkEnd w:id="165"/>
          <w:bookmarkEnd w:id="166"/>
          <w:bookmarkEnd w:id="167"/>
          <w:bookmarkEnd w:id="168"/>
          <w:bookmarkEnd w:id="169"/>
          <w:bookmarkEnd w:id="170"/>
          <w:bookmarkEnd w:id="171"/>
          <w:bookmarkEnd w:id="172"/>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证明</w:t>
            </w:r>
          </w:p>
          <w:p w14:paraId="0712761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widowControl w:val="0"/>
              <w:spacing w:beforeAutospacing="0" w:afterAutospacing="0"/>
              <w:jc w:val="center"/>
              <w:rPr>
                <w:rFonts w:ascii="Calibri" w:hAnsi="Calibri" w:eastAsia="宋体" w:cs="Times New Roman"/>
                <w:kern w:val="0"/>
                <w:sz w:val="24"/>
                <w:szCs w:val="24"/>
                <w:highlight w:val="none"/>
                <w:lang w:val="en-US" w:eastAsia="zh-CN" w:bidi="ar-SA"/>
              </w:rPr>
            </w:pPr>
            <w:r>
              <w:rPr>
                <w:rFonts w:ascii="Calibri" w:hAnsi="Calibri" w:eastAsia="宋体" w:cs="Times New Roman"/>
                <w:kern w:val="0"/>
                <w:sz w:val="24"/>
                <w:szCs w:val="24"/>
                <w:highlight w:val="none"/>
                <w:lang w:val="en-US" w:eastAsia="zh-CN" w:bidi="ar-SA"/>
              </w:rPr>
              <w:t> </w:t>
            </w:r>
          </w:p>
        </w:tc>
      </w:tr>
    </w:tbl>
    <w:p w14:paraId="044CB75F">
      <w:pPr>
        <w:ind w:firstLine="210"/>
        <w:rPr>
          <w:rFonts w:hint="eastAsia" w:ascii="宋体" w:hAnsi="宋体" w:eastAsia="宋体" w:cs="宋体"/>
          <w:color w:val="auto"/>
          <w:szCs w:val="28"/>
          <w:highlight w:val="none"/>
          <w:lang w:val="zh-CN"/>
        </w:rPr>
      </w:pPr>
    </w:p>
    <w:p w14:paraId="0515F675">
      <w:pPr>
        <w:widowControl w:val="0"/>
        <w:spacing w:beforeAutospacing="0" w:afterAutospacing="0"/>
        <w:jc w:val="both"/>
        <w:rPr>
          <w:rFonts w:ascii="Calibri" w:hAnsi="Calibri" w:eastAsia="宋体" w:cs="Times New Roman"/>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注： 行数不够，可自行添加。</w:t>
      </w:r>
    </w:p>
    <w:p w14:paraId="0BC954D5">
      <w:pPr>
        <w:spacing w:line="360" w:lineRule="auto"/>
        <w:rPr>
          <w:rFonts w:hint="eastAsia" w:ascii="宋体" w:hAnsi="宋体" w:eastAsia="宋体" w:cs="宋体"/>
          <w:bCs/>
          <w:color w:val="auto"/>
          <w:szCs w:val="28"/>
          <w:highlight w:val="none"/>
        </w:rPr>
      </w:pPr>
    </w:p>
    <w:p w14:paraId="33D54B7B">
      <w:pPr>
        <w:rPr>
          <w:rFonts w:ascii="宋体" w:hAnsi="宋体"/>
          <w:color w:val="auto"/>
          <w:sz w:val="24"/>
          <w:highlight w:val="none"/>
        </w:rPr>
      </w:pPr>
      <w:r>
        <w:rPr>
          <w:rFonts w:ascii="宋体" w:hAnsi="宋体"/>
          <w:color w:val="auto"/>
          <w:sz w:val="24"/>
          <w:highlight w:val="none"/>
        </w:rPr>
        <w:br w:type="page"/>
      </w:r>
    </w:p>
    <w:p w14:paraId="0C2D2637">
      <w:pPr>
        <w:numPr>
          <w:ilvl w:val="0"/>
          <w:numId w:val="0"/>
        </w:numPr>
        <w:ind w:firstLine="3200" w:firstLineChars="0"/>
        <w:rPr>
          <w:rFonts w:hint="eastAsia" w:ascii="宋体" w:hAnsi="宋体" w:eastAsia="宋体" w:cs="宋体"/>
          <w:i/>
          <w:color w:val="auto"/>
          <w:sz w:val="32"/>
          <w:szCs w:val="32"/>
          <w:highlight w:val="none"/>
          <w:u w:val="single"/>
        </w:rPr>
      </w:pPr>
      <w:r>
        <w:rPr>
          <w:rFonts w:hint="eastAsia" w:ascii="宋体" w:hAnsi="宋体" w:eastAsia="宋体" w:cs="宋体"/>
          <w:i/>
          <w:color w:val="auto"/>
          <w:kern w:val="2"/>
          <w:sz w:val="32"/>
          <w:szCs w:val="32"/>
          <w:highlight w:val="none"/>
          <w:lang w:val="en-US" w:eastAsia="zh-CN" w:bidi="ar-SA"/>
        </w:rPr>
        <w:t>十</w:t>
      </w:r>
      <w:r>
        <w:rPr>
          <w:rFonts w:hint="eastAsia" w:ascii="宋体" w:hAnsi="宋体" w:cs="宋体"/>
          <w:i/>
          <w:color w:val="auto"/>
          <w:kern w:val="2"/>
          <w:sz w:val="32"/>
          <w:szCs w:val="32"/>
          <w:highlight w:val="none"/>
          <w:lang w:val="en-US" w:eastAsia="zh-CN" w:bidi="ar-SA"/>
        </w:rPr>
        <w:t>五</w:t>
      </w:r>
      <w:r>
        <w:rPr>
          <w:rFonts w:hint="eastAsia" w:ascii="宋体" w:hAnsi="宋体" w:eastAsia="宋体" w:cs="宋体"/>
          <w:i/>
          <w:color w:val="auto"/>
          <w:kern w:val="2"/>
          <w:sz w:val="32"/>
          <w:szCs w:val="32"/>
          <w:highlight w:val="none"/>
          <w:lang w:val="en-US" w:eastAsia="zh-CN" w:bidi="ar-SA"/>
        </w:rPr>
        <w:t>、</w:t>
      </w:r>
      <w:r>
        <w:rPr>
          <w:rFonts w:hint="eastAsia" w:ascii="宋体" w:hAnsi="宋体" w:eastAsia="宋体" w:cs="宋体"/>
          <w:i/>
          <w:color w:val="auto"/>
          <w:sz w:val="32"/>
          <w:szCs w:val="32"/>
          <w:highlight w:val="none"/>
          <w:u w:val="single"/>
        </w:rPr>
        <w:t>开标一览表</w:t>
      </w:r>
    </w:p>
    <w:p w14:paraId="70B14AA4">
      <w:pPr>
        <w:widowControl w:val="0"/>
        <w:spacing w:beforeAutospacing="0" w:afterAutospacing="0"/>
        <w:ind w:firstLine="480"/>
        <w:jc w:val="both"/>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投标人全称（加盖CA电子签章）：</w:t>
      </w:r>
    </w:p>
    <w:p w14:paraId="4361FD6A">
      <w:pPr>
        <w:widowControl w:val="0"/>
        <w:spacing w:beforeAutospacing="0" w:afterAutospacing="0"/>
        <w:ind w:firstLine="480"/>
        <w:jc w:val="both"/>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项目名称：</w:t>
      </w:r>
    </w:p>
    <w:p w14:paraId="3003A85B">
      <w:pPr>
        <w:widowControl w:val="0"/>
        <w:spacing w:beforeAutospacing="0" w:afterAutospacing="0"/>
        <w:ind w:firstLine="48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项目编号：</w:t>
      </w:r>
    </w:p>
    <w:p w14:paraId="5DD53558">
      <w:pPr>
        <w:widowControl w:val="0"/>
        <w:spacing w:beforeAutospacing="0" w:afterAutospacing="0"/>
        <w:ind w:firstLine="480"/>
        <w:jc w:val="both"/>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分包号：</w:t>
      </w:r>
    </w:p>
    <w:tbl>
      <w:tblPr>
        <w:tblStyle w:val="44"/>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widowControl w:val="0"/>
              <w:spacing w:beforeAutospacing="0" w:afterAutospacing="0"/>
              <w:jc w:val="center"/>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widowControl w:val="0"/>
              <w:spacing w:beforeAutospacing="0" w:afterAutospacing="0" w:line="0" w:lineRule="atLeast"/>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widowControl w:val="0"/>
              <w:spacing w:beforeAutospacing="0" w:afterAutospacing="0" w:line="0" w:lineRule="atLeast"/>
              <w:jc w:val="left"/>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小写：                        （人民币：元）</w:t>
            </w:r>
          </w:p>
        </w:tc>
      </w:tr>
    </w:tbl>
    <w:p w14:paraId="083F367D">
      <w:pPr>
        <w:widowControl w:val="0"/>
        <w:spacing w:beforeAutospacing="0" w:afterAutospacing="0"/>
        <w:jc w:val="both"/>
        <w:rPr>
          <w:rFonts w:ascii="Calibri" w:hAnsi="Calibri" w:eastAsia="宋体" w:cs="Times New Roman"/>
          <w:color w:val="auto"/>
          <w:kern w:val="0"/>
          <w:sz w:val="24"/>
          <w:szCs w:val="24"/>
          <w:highlight w:val="none"/>
          <w:lang w:val="en-US" w:eastAsia="zh-CN" w:bidi="ar-SA"/>
        </w:rPr>
      </w:pPr>
      <w:r>
        <w:rPr>
          <w:rFonts w:ascii="Calibri" w:hAnsi="Calibri" w:eastAsia="宋体" w:cs="Times New Roman"/>
          <w:color w:val="auto"/>
          <w:kern w:val="0"/>
          <w:sz w:val="24"/>
          <w:szCs w:val="24"/>
          <w:highlight w:val="none"/>
          <w:lang w:val="en-US" w:eastAsia="zh-CN" w:bidi="ar-SA"/>
        </w:rPr>
        <w:t> </w:t>
      </w:r>
    </w:p>
    <w:p w14:paraId="15F53820">
      <w:pPr>
        <w:widowControl w:val="0"/>
        <w:spacing w:beforeAutospacing="0" w:afterAutospacing="0"/>
        <w:ind w:firstLine="480"/>
        <w:jc w:val="both"/>
        <w:rPr>
          <w:rFonts w:ascii="Calibri" w:hAnsi="Calibri" w:eastAsia="宋体" w:cs="Times New Roman"/>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                                              日期：  </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年</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月</w:t>
      </w:r>
      <w:r>
        <w:rPr>
          <w:rFonts w:hint="eastAsia" w:ascii="宋体" w:hAnsi="宋体" w:eastAsia="宋体" w:cs="宋体"/>
          <w:color w:val="auto"/>
          <w:kern w:val="0"/>
          <w:sz w:val="24"/>
          <w:szCs w:val="24"/>
          <w:highlight w:val="none"/>
          <w:u w:val="single"/>
          <w:lang w:val="en-US" w:eastAsia="zh-CN" w:bidi="ar-SA"/>
        </w:rPr>
        <w:t xml:space="preserve">   </w:t>
      </w:r>
      <w:r>
        <w:rPr>
          <w:rFonts w:hint="eastAsia" w:ascii="宋体" w:hAnsi="宋体" w:eastAsia="宋体" w:cs="宋体"/>
          <w:color w:val="auto"/>
          <w:kern w:val="0"/>
          <w:sz w:val="24"/>
          <w:szCs w:val="24"/>
          <w:highlight w:val="none"/>
          <w:lang w:val="en-US" w:eastAsia="zh-CN" w:bidi="ar-SA"/>
        </w:rPr>
        <w:t>日</w:t>
      </w:r>
    </w:p>
    <w:p w14:paraId="1796F123">
      <w:pPr>
        <w:rPr>
          <w:b/>
          <w:bCs/>
          <w:color w:val="auto"/>
          <w:highlight w:val="none"/>
        </w:rPr>
      </w:pPr>
    </w:p>
    <w:p w14:paraId="66B9EFFB">
      <w:pPr>
        <w:rPr>
          <w:b/>
          <w:bCs/>
          <w:color w:val="auto"/>
          <w:highlight w:val="none"/>
        </w:rPr>
      </w:pPr>
    </w:p>
    <w:p w14:paraId="659FF96E">
      <w:pPr>
        <w:keepNext/>
        <w:keepLines/>
        <w:spacing w:before="260" w:after="260" w:line="416" w:lineRule="auto"/>
        <w:jc w:val="center"/>
        <w:outlineLvl w:val="2"/>
        <w:rPr>
          <w:rFonts w:ascii="宋体" w:hAnsi="宋体"/>
          <w:b/>
          <w:bCs/>
          <w:color w:val="auto"/>
          <w:sz w:val="24"/>
          <w:szCs w:val="24"/>
          <w:highlight w:val="none"/>
        </w:rPr>
      </w:pPr>
    </w:p>
    <w:p w14:paraId="22C413B1">
      <w:pPr>
        <w:keepNext/>
        <w:keepLines/>
        <w:spacing w:before="260" w:after="260" w:line="416" w:lineRule="auto"/>
        <w:outlineLvl w:val="2"/>
        <w:rPr>
          <w:rFonts w:ascii="宋体" w:hAnsi="宋体"/>
          <w:b/>
          <w:bCs/>
          <w:color w:val="auto"/>
          <w:sz w:val="24"/>
          <w:szCs w:val="24"/>
          <w:highlight w:val="none"/>
        </w:rPr>
      </w:pPr>
    </w:p>
    <w:p w14:paraId="371F6DBE">
      <w:pPr>
        <w:ind w:firstLine="420"/>
        <w:rPr>
          <w:rFonts w:ascii="宋体" w:hAnsi="宋体"/>
          <w:color w:val="auto"/>
          <w:sz w:val="24"/>
          <w:szCs w:val="24"/>
          <w:highlight w:val="none"/>
        </w:rPr>
      </w:pPr>
    </w:p>
    <w:p w14:paraId="452F0A29">
      <w:pPr>
        <w:rPr>
          <w:rFonts w:ascii="宋体" w:hAnsi="宋体"/>
          <w:color w:val="auto"/>
          <w:sz w:val="24"/>
          <w:szCs w:val="24"/>
          <w:highlight w:val="none"/>
        </w:rPr>
      </w:pPr>
    </w:p>
    <w:p w14:paraId="69FAEDB8">
      <w:pPr>
        <w:ind w:firstLine="420"/>
        <w:rPr>
          <w:color w:val="auto"/>
          <w:highlight w:val="none"/>
        </w:rPr>
      </w:pPr>
    </w:p>
    <w:p w14:paraId="083D0C20">
      <w:pPr>
        <w:rPr>
          <w:color w:val="auto"/>
          <w:highlight w:val="none"/>
        </w:rPr>
      </w:pPr>
    </w:p>
    <w:p w14:paraId="530CB1EC">
      <w:pPr>
        <w:ind w:firstLine="420"/>
        <w:rPr>
          <w:color w:val="auto"/>
          <w:highlight w:val="none"/>
        </w:rPr>
      </w:pPr>
    </w:p>
    <w:p w14:paraId="79C5DE3F">
      <w:pPr>
        <w:rPr>
          <w:color w:val="auto"/>
          <w:highlight w:val="none"/>
        </w:rPr>
      </w:pPr>
    </w:p>
    <w:p w14:paraId="4180E167">
      <w:pPr>
        <w:ind w:firstLine="420"/>
        <w:rPr>
          <w:color w:val="auto"/>
          <w:highlight w:val="none"/>
        </w:rPr>
      </w:pPr>
    </w:p>
    <w:p w14:paraId="4B8DA188">
      <w:pPr>
        <w:snapToGrid w:val="0"/>
        <w:spacing w:before="50" w:after="50"/>
        <w:jc w:val="center"/>
        <w:rPr>
          <w:rFonts w:ascii="黑体" w:eastAsia="黑体"/>
          <w:color w:val="auto"/>
          <w:sz w:val="32"/>
          <w:szCs w:val="32"/>
          <w:highlight w:val="none"/>
        </w:rPr>
      </w:pPr>
    </w:p>
    <w:p w14:paraId="20DC96FD">
      <w:pPr>
        <w:rPr>
          <w:rFonts w:hint="eastAsia" w:ascii="黑体" w:eastAsia="黑体"/>
          <w:color w:val="auto"/>
          <w:sz w:val="32"/>
          <w:szCs w:val="32"/>
          <w:highlight w:val="none"/>
        </w:rPr>
      </w:pPr>
      <w:r>
        <w:rPr>
          <w:rFonts w:hint="eastAsia" w:ascii="黑体" w:eastAsia="黑体"/>
          <w:color w:val="auto"/>
          <w:sz w:val="32"/>
          <w:szCs w:val="32"/>
          <w:highlight w:val="none"/>
        </w:rPr>
        <w:br w:type="page"/>
      </w:r>
    </w:p>
    <w:p w14:paraId="228D059F">
      <w:pPr>
        <w:numPr>
          <w:ilvl w:val="0"/>
          <w:numId w:val="0"/>
        </w:numPr>
        <w:ind w:firstLine="3200" w:firstLineChars="0"/>
        <w:rPr>
          <w:rFonts w:hint="eastAsia" w:ascii="宋体" w:hAnsi="宋体" w:eastAsia="宋体" w:cs="宋体"/>
          <w:i/>
          <w:color w:val="auto"/>
          <w:sz w:val="32"/>
          <w:szCs w:val="32"/>
          <w:highlight w:val="none"/>
          <w:u w:val="single"/>
          <w:lang w:eastAsia="zh-CN"/>
        </w:rPr>
      </w:pPr>
      <w:r>
        <w:rPr>
          <w:rFonts w:hint="eastAsia" w:ascii="宋体" w:hAnsi="宋体" w:eastAsia="宋体" w:cs="宋体"/>
          <w:i/>
          <w:color w:val="auto"/>
          <w:kern w:val="2"/>
          <w:sz w:val="32"/>
          <w:szCs w:val="32"/>
          <w:highlight w:val="none"/>
          <w:lang w:val="en-US" w:eastAsia="zh-CN" w:bidi="ar-SA"/>
        </w:rPr>
        <w:t>十</w:t>
      </w:r>
      <w:r>
        <w:rPr>
          <w:rFonts w:hint="eastAsia" w:ascii="宋体" w:hAnsi="宋体" w:cs="宋体"/>
          <w:i/>
          <w:color w:val="auto"/>
          <w:kern w:val="2"/>
          <w:sz w:val="32"/>
          <w:szCs w:val="32"/>
          <w:highlight w:val="none"/>
          <w:lang w:val="en-US" w:eastAsia="zh-CN" w:bidi="ar-SA"/>
        </w:rPr>
        <w:t>六</w:t>
      </w:r>
      <w:r>
        <w:rPr>
          <w:rFonts w:hint="eastAsia" w:ascii="宋体" w:hAnsi="宋体" w:eastAsia="宋体" w:cs="宋体"/>
          <w:i/>
          <w:color w:val="auto"/>
          <w:kern w:val="2"/>
          <w:sz w:val="32"/>
          <w:szCs w:val="32"/>
          <w:highlight w:val="none"/>
          <w:lang w:val="en-US" w:eastAsia="zh-CN" w:bidi="ar-SA"/>
        </w:rPr>
        <w:t>、</w:t>
      </w:r>
      <w:r>
        <w:rPr>
          <w:rFonts w:hint="eastAsia" w:ascii="宋体" w:hAnsi="宋体" w:eastAsia="宋体" w:cs="宋体"/>
          <w:i/>
          <w:color w:val="auto"/>
          <w:sz w:val="32"/>
          <w:szCs w:val="32"/>
          <w:highlight w:val="none"/>
          <w:u w:val="single"/>
          <w:lang w:val="en-US" w:eastAsia="zh-CN"/>
        </w:rPr>
        <w:t>分项报价表</w:t>
      </w:r>
    </w:p>
    <w:p w14:paraId="27B3A0BA">
      <w:pPr>
        <w:rPr>
          <w:rFonts w:ascii="宋体" w:hAnsi="宋体"/>
          <w:color w:val="auto"/>
          <w:sz w:val="24"/>
          <w:szCs w:val="24"/>
          <w:highlight w:val="none"/>
        </w:rPr>
      </w:pPr>
      <w:bookmarkStart w:id="173" w:name="_Toc12603"/>
    </w:p>
    <w:tbl>
      <w:tblPr>
        <w:tblStyle w:val="44"/>
        <w:tblW w:w="7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4"/>
        <w:gridCol w:w="1002"/>
        <w:gridCol w:w="2268"/>
        <w:gridCol w:w="2241"/>
      </w:tblGrid>
      <w:tr w14:paraId="21A8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24" w:type="dxa"/>
            <w:vAlign w:val="center"/>
          </w:tcPr>
          <w:p w14:paraId="09284A54">
            <w:pPr>
              <w:jc w:val="center"/>
              <w:rPr>
                <w:rFonts w:ascii="宋体" w:hAnsi="宋体"/>
                <w:color w:val="auto"/>
                <w:sz w:val="24"/>
                <w:szCs w:val="24"/>
                <w:highlight w:val="none"/>
              </w:rPr>
            </w:pPr>
            <w:r>
              <w:rPr>
                <w:rFonts w:hint="eastAsia" w:ascii="宋体" w:hAnsi="宋体"/>
                <w:color w:val="auto"/>
                <w:sz w:val="24"/>
                <w:szCs w:val="24"/>
                <w:highlight w:val="none"/>
              </w:rPr>
              <w:t>服务类别</w:t>
            </w:r>
          </w:p>
        </w:tc>
        <w:tc>
          <w:tcPr>
            <w:tcW w:w="1002" w:type="dxa"/>
            <w:vAlign w:val="center"/>
          </w:tcPr>
          <w:p w14:paraId="4D0A8B74">
            <w:pPr>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2268" w:type="dxa"/>
            <w:vAlign w:val="center"/>
          </w:tcPr>
          <w:p w14:paraId="09833F7E">
            <w:pPr>
              <w:jc w:val="center"/>
              <w:rPr>
                <w:rFonts w:ascii="宋体" w:hAnsi="宋体"/>
                <w:color w:val="auto"/>
                <w:sz w:val="24"/>
                <w:szCs w:val="24"/>
                <w:highlight w:val="none"/>
              </w:rPr>
            </w:pPr>
            <w:r>
              <w:rPr>
                <w:rFonts w:hint="eastAsia" w:ascii="宋体" w:hAnsi="宋体"/>
                <w:color w:val="auto"/>
                <w:sz w:val="24"/>
                <w:szCs w:val="24"/>
                <w:highlight w:val="none"/>
              </w:rPr>
              <w:t>综合单价（元）</w:t>
            </w:r>
          </w:p>
        </w:tc>
        <w:tc>
          <w:tcPr>
            <w:tcW w:w="2241" w:type="dxa"/>
            <w:vAlign w:val="center"/>
          </w:tcPr>
          <w:p w14:paraId="3F8E7295">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合</w:t>
            </w:r>
            <w:bookmarkEnd w:id="173"/>
            <w:r>
              <w:rPr>
                <w:rFonts w:hint="eastAsia" w:ascii="宋体" w:hAnsi="宋体"/>
                <w:color w:val="auto"/>
                <w:sz w:val="24"/>
                <w:szCs w:val="24"/>
                <w:highlight w:val="none"/>
              </w:rPr>
              <w:t>价</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36</w:t>
            </w:r>
            <w:r>
              <w:rPr>
                <w:rFonts w:hint="eastAsia" w:ascii="宋体" w:hAnsi="宋体"/>
                <w:color w:val="auto"/>
                <w:sz w:val="24"/>
                <w:szCs w:val="24"/>
                <w:highlight w:val="none"/>
              </w:rPr>
              <w:t>个月</w:t>
            </w:r>
            <w:r>
              <w:rPr>
                <w:rFonts w:hint="eastAsia" w:ascii="宋体" w:hAnsi="宋体"/>
                <w:color w:val="auto"/>
                <w:sz w:val="24"/>
                <w:szCs w:val="24"/>
                <w:highlight w:val="none"/>
                <w:lang w:eastAsia="zh-CN"/>
              </w:rPr>
              <w:t>）</w:t>
            </w:r>
          </w:p>
          <w:p w14:paraId="27E848D5">
            <w:pPr>
              <w:jc w:val="center"/>
              <w:rPr>
                <w:rFonts w:ascii="宋体" w:hAnsi="宋体"/>
                <w:color w:val="auto"/>
                <w:sz w:val="24"/>
                <w:szCs w:val="24"/>
                <w:highlight w:val="none"/>
              </w:rPr>
            </w:pPr>
            <w:r>
              <w:rPr>
                <w:rFonts w:hint="eastAsia" w:ascii="宋体" w:hAnsi="宋体"/>
                <w:color w:val="auto"/>
                <w:sz w:val="24"/>
                <w:szCs w:val="24"/>
                <w:highlight w:val="none"/>
              </w:rPr>
              <w:t>（元）</w:t>
            </w:r>
          </w:p>
        </w:tc>
      </w:tr>
      <w:tr w14:paraId="2788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1724" w:type="dxa"/>
            <w:vAlign w:val="center"/>
          </w:tcPr>
          <w:p w14:paraId="154D5FAC">
            <w:pPr>
              <w:jc w:val="center"/>
              <w:rPr>
                <w:rFonts w:ascii="宋体" w:hAnsi="宋体"/>
                <w:color w:val="auto"/>
                <w:sz w:val="24"/>
                <w:szCs w:val="24"/>
                <w:highlight w:val="none"/>
              </w:rPr>
            </w:pPr>
            <w:r>
              <w:rPr>
                <w:rFonts w:hint="eastAsia" w:ascii="宋体" w:hAnsi="宋体"/>
                <w:color w:val="auto"/>
                <w:sz w:val="24"/>
                <w:szCs w:val="24"/>
                <w:highlight w:val="none"/>
              </w:rPr>
              <w:t>自理、轻度失能特困人员</w:t>
            </w:r>
          </w:p>
        </w:tc>
        <w:tc>
          <w:tcPr>
            <w:tcW w:w="1002" w:type="dxa"/>
            <w:vAlign w:val="center"/>
          </w:tcPr>
          <w:p w14:paraId="62FDFFD9">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45</w:t>
            </w:r>
          </w:p>
        </w:tc>
        <w:tc>
          <w:tcPr>
            <w:tcW w:w="2268" w:type="dxa"/>
            <w:vAlign w:val="center"/>
          </w:tcPr>
          <w:p w14:paraId="304CA39A">
            <w:pPr>
              <w:ind w:firstLine="240" w:firstLineChars="100"/>
              <w:rPr>
                <w:rFonts w:ascii="宋体" w:hAnsi="宋体"/>
                <w:color w:val="auto"/>
                <w:sz w:val="24"/>
                <w:szCs w:val="24"/>
                <w:highlight w:val="none"/>
              </w:rPr>
            </w:pPr>
            <w:r>
              <w:rPr>
                <w:rFonts w:hint="eastAsia" w:ascii="宋体" w:hAnsi="宋体"/>
                <w:color w:val="auto"/>
                <w:sz w:val="24"/>
                <w:szCs w:val="24"/>
                <w:highlight w:val="none"/>
              </w:rPr>
              <w:t>元/月·人</w:t>
            </w:r>
          </w:p>
        </w:tc>
        <w:tc>
          <w:tcPr>
            <w:tcW w:w="2241" w:type="dxa"/>
            <w:vAlign w:val="center"/>
          </w:tcPr>
          <w:p w14:paraId="626928FB">
            <w:pPr>
              <w:rPr>
                <w:rFonts w:ascii="宋体" w:hAnsi="宋体"/>
                <w:color w:val="auto"/>
                <w:sz w:val="24"/>
                <w:szCs w:val="24"/>
                <w:highlight w:val="none"/>
              </w:rPr>
            </w:pPr>
          </w:p>
        </w:tc>
      </w:tr>
      <w:tr w14:paraId="7AB41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1724" w:type="dxa"/>
            <w:vAlign w:val="center"/>
          </w:tcPr>
          <w:p w14:paraId="457AF086">
            <w:pPr>
              <w:jc w:val="center"/>
              <w:rPr>
                <w:rFonts w:ascii="宋体" w:hAnsi="宋体"/>
                <w:color w:val="auto"/>
                <w:sz w:val="24"/>
                <w:szCs w:val="24"/>
                <w:highlight w:val="none"/>
              </w:rPr>
            </w:pPr>
            <w:r>
              <w:rPr>
                <w:rFonts w:hint="eastAsia" w:ascii="宋体" w:hAnsi="宋体"/>
                <w:color w:val="auto"/>
                <w:sz w:val="24"/>
                <w:szCs w:val="24"/>
                <w:highlight w:val="none"/>
              </w:rPr>
              <w:t>中度失能特困人员</w:t>
            </w:r>
          </w:p>
        </w:tc>
        <w:tc>
          <w:tcPr>
            <w:tcW w:w="1002" w:type="dxa"/>
            <w:vAlign w:val="center"/>
          </w:tcPr>
          <w:p w14:paraId="529DAFF4">
            <w:pPr>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35</w:t>
            </w:r>
          </w:p>
        </w:tc>
        <w:tc>
          <w:tcPr>
            <w:tcW w:w="2268" w:type="dxa"/>
            <w:vAlign w:val="center"/>
          </w:tcPr>
          <w:p w14:paraId="61E3B46A">
            <w:pPr>
              <w:ind w:firstLine="240" w:firstLineChars="100"/>
              <w:rPr>
                <w:rFonts w:ascii="宋体" w:hAnsi="宋体"/>
                <w:color w:val="auto"/>
                <w:sz w:val="24"/>
                <w:szCs w:val="24"/>
                <w:highlight w:val="none"/>
                <w:u w:val="single"/>
              </w:rPr>
            </w:pPr>
            <w:r>
              <w:rPr>
                <w:rFonts w:hint="eastAsia" w:ascii="宋体" w:hAnsi="宋体"/>
                <w:color w:val="auto"/>
                <w:sz w:val="24"/>
                <w:szCs w:val="24"/>
                <w:highlight w:val="none"/>
              </w:rPr>
              <w:t>元/月·人</w:t>
            </w:r>
          </w:p>
        </w:tc>
        <w:tc>
          <w:tcPr>
            <w:tcW w:w="2241" w:type="dxa"/>
            <w:vAlign w:val="center"/>
          </w:tcPr>
          <w:p w14:paraId="059BAB73">
            <w:pPr>
              <w:rPr>
                <w:rFonts w:ascii="宋体" w:hAnsi="宋体"/>
                <w:color w:val="auto"/>
                <w:sz w:val="24"/>
                <w:szCs w:val="24"/>
                <w:highlight w:val="none"/>
              </w:rPr>
            </w:pPr>
          </w:p>
        </w:tc>
      </w:tr>
      <w:tr w14:paraId="5014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1724" w:type="dxa"/>
            <w:vAlign w:val="center"/>
          </w:tcPr>
          <w:p w14:paraId="641401F2">
            <w:pPr>
              <w:jc w:val="center"/>
              <w:rPr>
                <w:rFonts w:ascii="宋体" w:hAnsi="宋体"/>
                <w:color w:val="auto"/>
                <w:sz w:val="24"/>
                <w:szCs w:val="24"/>
                <w:highlight w:val="none"/>
              </w:rPr>
            </w:pPr>
            <w:r>
              <w:rPr>
                <w:rFonts w:hint="eastAsia" w:ascii="宋体" w:hAnsi="宋体"/>
                <w:color w:val="auto"/>
                <w:sz w:val="24"/>
                <w:szCs w:val="24"/>
                <w:highlight w:val="none"/>
              </w:rPr>
              <w:t>重度失能、完全失能特困人员</w:t>
            </w:r>
          </w:p>
        </w:tc>
        <w:tc>
          <w:tcPr>
            <w:tcW w:w="1002" w:type="dxa"/>
            <w:vAlign w:val="center"/>
          </w:tcPr>
          <w:p w14:paraId="5B68FF64">
            <w:pPr>
              <w:jc w:val="center"/>
              <w:rPr>
                <w:rFonts w:hint="default" w:ascii="宋体" w:hAnsi="宋体"/>
                <w:color w:val="auto"/>
                <w:sz w:val="24"/>
                <w:szCs w:val="24"/>
                <w:highlight w:val="none"/>
                <w:lang w:val="en-US"/>
              </w:rPr>
            </w:pPr>
            <w:r>
              <w:rPr>
                <w:rFonts w:hint="eastAsia" w:ascii="宋体" w:hAnsi="宋体"/>
                <w:color w:val="auto"/>
                <w:sz w:val="24"/>
                <w:szCs w:val="24"/>
                <w:highlight w:val="none"/>
                <w:lang w:val="en-US" w:eastAsia="zh-CN"/>
              </w:rPr>
              <w:t>40</w:t>
            </w:r>
          </w:p>
        </w:tc>
        <w:tc>
          <w:tcPr>
            <w:tcW w:w="2268" w:type="dxa"/>
            <w:vAlign w:val="center"/>
          </w:tcPr>
          <w:p w14:paraId="4E79F908">
            <w:pPr>
              <w:ind w:firstLine="240" w:firstLineChars="100"/>
              <w:rPr>
                <w:rFonts w:ascii="宋体" w:hAnsi="宋体"/>
                <w:color w:val="auto"/>
                <w:sz w:val="24"/>
                <w:szCs w:val="24"/>
                <w:highlight w:val="none"/>
              </w:rPr>
            </w:pPr>
            <w:r>
              <w:rPr>
                <w:rFonts w:hint="eastAsia" w:ascii="宋体" w:hAnsi="宋体"/>
                <w:color w:val="auto"/>
                <w:sz w:val="24"/>
                <w:szCs w:val="24"/>
                <w:highlight w:val="none"/>
              </w:rPr>
              <w:t>元/月·人</w:t>
            </w:r>
          </w:p>
        </w:tc>
        <w:tc>
          <w:tcPr>
            <w:tcW w:w="2241" w:type="dxa"/>
            <w:vAlign w:val="center"/>
          </w:tcPr>
          <w:p w14:paraId="62615DBA">
            <w:pPr>
              <w:rPr>
                <w:rFonts w:ascii="宋体" w:hAnsi="宋体"/>
                <w:color w:val="auto"/>
                <w:sz w:val="24"/>
                <w:szCs w:val="24"/>
                <w:highlight w:val="none"/>
              </w:rPr>
            </w:pPr>
          </w:p>
        </w:tc>
      </w:tr>
      <w:tr w14:paraId="01FF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1724" w:type="dxa"/>
            <w:vAlign w:val="center"/>
          </w:tcPr>
          <w:p w14:paraId="7150E6F6">
            <w:pPr>
              <w:jc w:val="center"/>
              <w:rPr>
                <w:rFonts w:ascii="宋体" w:hAnsi="宋体"/>
                <w:color w:val="auto"/>
                <w:sz w:val="24"/>
                <w:szCs w:val="24"/>
                <w:highlight w:val="none"/>
              </w:rPr>
            </w:pPr>
            <w:r>
              <w:rPr>
                <w:rFonts w:hint="eastAsia" w:ascii="宋体" w:hAnsi="宋体"/>
                <w:color w:val="auto"/>
                <w:sz w:val="24"/>
                <w:szCs w:val="24"/>
                <w:highlight w:val="none"/>
              </w:rPr>
              <w:t>总计</w:t>
            </w:r>
          </w:p>
        </w:tc>
        <w:tc>
          <w:tcPr>
            <w:tcW w:w="5511" w:type="dxa"/>
            <w:gridSpan w:val="3"/>
            <w:vAlign w:val="center"/>
          </w:tcPr>
          <w:p w14:paraId="4ADDBCAB">
            <w:pPr>
              <w:rPr>
                <w:rFonts w:ascii="宋体" w:hAnsi="宋体"/>
                <w:color w:val="auto"/>
                <w:sz w:val="24"/>
                <w:szCs w:val="24"/>
                <w:highlight w:val="none"/>
              </w:rPr>
            </w:pPr>
            <w:r>
              <w:rPr>
                <w:rFonts w:hint="eastAsia" w:ascii="宋体" w:hAnsi="宋体" w:cs="宋体"/>
                <w:b/>
                <w:bCs/>
                <w:color w:val="auto"/>
                <w:sz w:val="24"/>
                <w:highlight w:val="none"/>
              </w:rPr>
              <w:t>（大写）人民币       ，小写：         元</w:t>
            </w:r>
          </w:p>
        </w:tc>
      </w:tr>
    </w:tbl>
    <w:p w14:paraId="6B850AD2">
      <w:pPr>
        <w:rPr>
          <w:rFonts w:ascii="宋体" w:hAnsi="宋体"/>
          <w:color w:val="auto"/>
          <w:sz w:val="24"/>
          <w:szCs w:val="24"/>
          <w:highlight w:val="none"/>
        </w:rPr>
      </w:pPr>
    </w:p>
    <w:p w14:paraId="482B7327">
      <w:pPr>
        <w:jc w:val="right"/>
        <w:rPr>
          <w:rFonts w:hint="eastAsia" w:ascii="宋体" w:hAnsi="宋体"/>
          <w:color w:val="auto"/>
          <w:sz w:val="24"/>
          <w:szCs w:val="24"/>
          <w:highlight w:val="none"/>
        </w:rPr>
      </w:pPr>
      <w:r>
        <w:rPr>
          <w:rFonts w:hint="eastAsia" w:ascii="宋体" w:hAnsi="宋体"/>
          <w:color w:val="auto"/>
          <w:sz w:val="24"/>
          <w:szCs w:val="24"/>
          <w:highlight w:val="none"/>
        </w:rPr>
        <w:t>投标人全称（加盖CA电子签章）：</w:t>
      </w:r>
    </w:p>
    <w:p w14:paraId="1E515FE5">
      <w:pPr>
        <w:spacing w:line="360" w:lineRule="auto"/>
        <w:rPr>
          <w:rFonts w:hint="eastAsia" w:ascii="宋体" w:hAnsi="宋体"/>
          <w:color w:val="auto"/>
          <w:sz w:val="24"/>
          <w:highlight w:val="none"/>
        </w:rPr>
      </w:pPr>
    </w:p>
    <w:p w14:paraId="038F0301">
      <w:pPr>
        <w:spacing w:line="360" w:lineRule="auto"/>
        <w:rPr>
          <w:rFonts w:ascii="宋体" w:hAnsi="宋体"/>
          <w:color w:val="auto"/>
          <w:sz w:val="24"/>
          <w:highlight w:val="none"/>
        </w:rPr>
      </w:pPr>
      <w:r>
        <w:rPr>
          <w:rFonts w:hint="eastAsia" w:ascii="宋体" w:hAnsi="宋体"/>
          <w:color w:val="auto"/>
          <w:sz w:val="24"/>
          <w:highlight w:val="none"/>
        </w:rPr>
        <w:t>1、此表可以根据需要自行增减行数。</w:t>
      </w:r>
    </w:p>
    <w:p w14:paraId="237D3842">
      <w:pPr>
        <w:spacing w:line="360" w:lineRule="auto"/>
        <w:rPr>
          <w:rFonts w:ascii="宋体" w:hAnsi="宋体"/>
          <w:color w:val="auto"/>
          <w:sz w:val="24"/>
          <w:highlight w:val="none"/>
        </w:rPr>
      </w:pPr>
      <w:r>
        <w:rPr>
          <w:rFonts w:hint="eastAsia" w:ascii="宋体" w:hAnsi="宋体"/>
          <w:color w:val="auto"/>
          <w:sz w:val="24"/>
          <w:highlight w:val="none"/>
        </w:rPr>
        <w:t>2、项目如有分包，请各供应商按投报的分包分别列表。</w:t>
      </w:r>
    </w:p>
    <w:p w14:paraId="097E39B6">
      <w:pPr>
        <w:spacing w:line="560" w:lineRule="atLeast"/>
        <w:jc w:val="left"/>
        <w:rPr>
          <w:rFonts w:ascii="宋体" w:hAnsi="宋体"/>
          <w:b/>
          <w:bCs/>
          <w:color w:val="auto"/>
          <w:kern w:val="0"/>
          <w:sz w:val="24"/>
          <w:highlight w:val="none"/>
        </w:rPr>
      </w:pPr>
      <w:r>
        <w:rPr>
          <w:rFonts w:hint="eastAsia" w:ascii="宋体" w:hAnsi="宋体"/>
          <w:b/>
          <w:bCs/>
          <w:color w:val="auto"/>
          <w:kern w:val="0"/>
          <w:sz w:val="24"/>
          <w:highlight w:val="none"/>
        </w:rPr>
        <w:t>3、投标报价表中数量请选择下表中数量在投标报价表中准确填写：</w:t>
      </w:r>
    </w:p>
    <w:tbl>
      <w:tblPr>
        <w:tblStyle w:val="44"/>
        <w:tblW w:w="7693" w:type="dxa"/>
        <w:tblInd w:w="0" w:type="dxa"/>
        <w:tblLayout w:type="fixed"/>
        <w:tblCellMar>
          <w:top w:w="0" w:type="dxa"/>
          <w:left w:w="108" w:type="dxa"/>
          <w:bottom w:w="0" w:type="dxa"/>
          <w:right w:w="108" w:type="dxa"/>
        </w:tblCellMar>
      </w:tblPr>
      <w:tblGrid>
        <w:gridCol w:w="1883"/>
        <w:gridCol w:w="5810"/>
      </w:tblGrid>
      <w:tr w14:paraId="4A1000D8">
        <w:tblPrEx>
          <w:tblCellMar>
            <w:top w:w="0" w:type="dxa"/>
            <w:left w:w="108" w:type="dxa"/>
            <w:bottom w:w="0" w:type="dxa"/>
            <w:right w:w="108" w:type="dxa"/>
          </w:tblCellMar>
        </w:tblPrEx>
        <w:trPr>
          <w:trHeight w:val="732" w:hRule="atLeast"/>
        </w:trPr>
        <w:tc>
          <w:tcPr>
            <w:tcW w:w="1883" w:type="dxa"/>
            <w:tcBorders>
              <w:top w:val="single" w:color="000000" w:sz="4" w:space="0"/>
              <w:left w:val="single" w:color="000000" w:sz="4" w:space="0"/>
              <w:right w:val="single" w:color="000000" w:sz="4" w:space="0"/>
            </w:tcBorders>
            <w:vAlign w:val="center"/>
          </w:tcPr>
          <w:p w14:paraId="03132D7D">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服务类别</w:t>
            </w:r>
          </w:p>
        </w:tc>
        <w:tc>
          <w:tcPr>
            <w:tcW w:w="5810" w:type="dxa"/>
            <w:tcBorders>
              <w:top w:val="single" w:color="000000" w:sz="4" w:space="0"/>
              <w:left w:val="single" w:color="000000" w:sz="4" w:space="0"/>
              <w:right w:val="single" w:color="000000" w:sz="4" w:space="0"/>
            </w:tcBorders>
            <w:vAlign w:val="center"/>
          </w:tcPr>
          <w:p w14:paraId="57445DC2">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服务人数</w:t>
            </w:r>
          </w:p>
        </w:tc>
      </w:tr>
      <w:tr w14:paraId="6E9D0348">
        <w:tblPrEx>
          <w:tblCellMar>
            <w:top w:w="0" w:type="dxa"/>
            <w:left w:w="108" w:type="dxa"/>
            <w:bottom w:w="0" w:type="dxa"/>
            <w:right w:w="108" w:type="dxa"/>
          </w:tblCellMar>
        </w:tblPrEx>
        <w:trPr>
          <w:trHeight w:val="490" w:hRule="atLeast"/>
        </w:trPr>
        <w:tc>
          <w:tcPr>
            <w:tcW w:w="1883" w:type="dxa"/>
            <w:tcBorders>
              <w:top w:val="single" w:color="000000" w:sz="4" w:space="0"/>
              <w:left w:val="single" w:color="000000" w:sz="4" w:space="0"/>
              <w:bottom w:val="single" w:color="auto" w:sz="4" w:space="0"/>
              <w:right w:val="single" w:color="000000" w:sz="4" w:space="0"/>
            </w:tcBorders>
            <w:vAlign w:val="center"/>
          </w:tcPr>
          <w:p w14:paraId="11A9A3CE">
            <w:pPr>
              <w:jc w:val="center"/>
              <w:rPr>
                <w:rFonts w:ascii="宋体" w:hAnsi="宋体" w:cs="宋体"/>
                <w:b/>
                <w:bCs/>
                <w:color w:val="auto"/>
                <w:sz w:val="24"/>
                <w:szCs w:val="24"/>
                <w:highlight w:val="none"/>
              </w:rPr>
            </w:pPr>
            <w:r>
              <w:rPr>
                <w:rFonts w:hint="eastAsia" w:ascii="宋体" w:hAnsi="宋体"/>
                <w:color w:val="auto"/>
                <w:sz w:val="24"/>
                <w:szCs w:val="24"/>
                <w:highlight w:val="none"/>
              </w:rPr>
              <w:t>自理、轻度失能特困人员</w:t>
            </w:r>
          </w:p>
        </w:tc>
        <w:tc>
          <w:tcPr>
            <w:tcW w:w="5810" w:type="dxa"/>
            <w:tcBorders>
              <w:top w:val="single" w:color="000000" w:sz="4" w:space="0"/>
              <w:left w:val="single" w:color="000000" w:sz="4" w:space="0"/>
              <w:bottom w:val="single" w:color="000000" w:sz="4" w:space="0"/>
              <w:right w:val="single" w:color="000000" w:sz="4" w:space="0"/>
            </w:tcBorders>
            <w:vAlign w:val="center"/>
          </w:tcPr>
          <w:p w14:paraId="272A4EE0">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45</w:t>
            </w:r>
          </w:p>
        </w:tc>
      </w:tr>
      <w:tr w14:paraId="33726C34">
        <w:tblPrEx>
          <w:tblCellMar>
            <w:top w:w="0" w:type="dxa"/>
            <w:left w:w="108" w:type="dxa"/>
            <w:bottom w:w="0" w:type="dxa"/>
            <w:right w:w="108" w:type="dxa"/>
          </w:tblCellMar>
        </w:tblPrEx>
        <w:trPr>
          <w:trHeight w:val="634" w:hRule="atLeast"/>
        </w:trPr>
        <w:tc>
          <w:tcPr>
            <w:tcW w:w="1883" w:type="dxa"/>
            <w:tcBorders>
              <w:top w:val="single" w:color="000000" w:sz="4" w:space="0"/>
              <w:left w:val="single" w:color="000000" w:sz="4" w:space="0"/>
              <w:right w:val="single" w:color="000000" w:sz="4" w:space="0"/>
            </w:tcBorders>
            <w:vAlign w:val="center"/>
          </w:tcPr>
          <w:p w14:paraId="33E19057">
            <w:pPr>
              <w:jc w:val="center"/>
              <w:rPr>
                <w:rFonts w:ascii="宋体" w:hAnsi="宋体" w:cs="宋体"/>
                <w:b/>
                <w:bCs/>
                <w:color w:val="auto"/>
                <w:sz w:val="24"/>
                <w:szCs w:val="24"/>
                <w:highlight w:val="none"/>
              </w:rPr>
            </w:pPr>
            <w:r>
              <w:rPr>
                <w:rFonts w:hint="eastAsia" w:ascii="宋体" w:hAnsi="宋体"/>
                <w:color w:val="auto"/>
                <w:sz w:val="24"/>
                <w:szCs w:val="24"/>
                <w:highlight w:val="none"/>
              </w:rPr>
              <w:t>中度失能特困人员</w:t>
            </w:r>
          </w:p>
        </w:tc>
        <w:tc>
          <w:tcPr>
            <w:tcW w:w="5810" w:type="dxa"/>
            <w:tcBorders>
              <w:top w:val="single" w:color="000000" w:sz="4" w:space="0"/>
              <w:left w:val="single" w:color="000000" w:sz="4" w:space="0"/>
              <w:right w:val="single" w:color="000000" w:sz="4" w:space="0"/>
            </w:tcBorders>
            <w:vAlign w:val="center"/>
          </w:tcPr>
          <w:p w14:paraId="6C90D662">
            <w:pPr>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35</w:t>
            </w:r>
          </w:p>
        </w:tc>
      </w:tr>
      <w:tr w14:paraId="4564B34F">
        <w:trPr>
          <w:trHeight w:val="410" w:hRule="atLeast"/>
        </w:trPr>
        <w:tc>
          <w:tcPr>
            <w:tcW w:w="1883" w:type="dxa"/>
            <w:tcBorders>
              <w:top w:val="single" w:color="000000" w:sz="4" w:space="0"/>
              <w:left w:val="single" w:color="000000" w:sz="4" w:space="0"/>
              <w:bottom w:val="single" w:color="000000" w:sz="4" w:space="0"/>
              <w:right w:val="single" w:color="000000" w:sz="4" w:space="0"/>
            </w:tcBorders>
            <w:vAlign w:val="center"/>
          </w:tcPr>
          <w:p w14:paraId="2BCF38B0">
            <w:pPr>
              <w:rPr>
                <w:rFonts w:ascii="宋体" w:hAnsi="宋体" w:cs="宋体"/>
                <w:b/>
                <w:bCs/>
                <w:color w:val="auto"/>
                <w:sz w:val="24"/>
                <w:szCs w:val="24"/>
                <w:highlight w:val="none"/>
              </w:rPr>
            </w:pPr>
            <w:r>
              <w:rPr>
                <w:rFonts w:hint="eastAsia" w:ascii="宋体" w:hAnsi="宋体"/>
                <w:color w:val="auto"/>
                <w:sz w:val="24"/>
                <w:szCs w:val="24"/>
                <w:highlight w:val="none"/>
              </w:rPr>
              <w:t>重度失能、完全失能特困人员</w:t>
            </w:r>
          </w:p>
        </w:tc>
        <w:tc>
          <w:tcPr>
            <w:tcW w:w="5810" w:type="dxa"/>
            <w:tcBorders>
              <w:top w:val="single" w:color="000000" w:sz="4" w:space="0"/>
              <w:left w:val="single" w:color="000000" w:sz="4" w:space="0"/>
              <w:bottom w:val="single" w:color="000000" w:sz="4" w:space="0"/>
              <w:right w:val="single" w:color="000000" w:sz="4" w:space="0"/>
            </w:tcBorders>
            <w:vAlign w:val="center"/>
          </w:tcPr>
          <w:p w14:paraId="122DFC1F">
            <w:pPr>
              <w:jc w:val="center"/>
              <w:rPr>
                <w:rFonts w:hint="default"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40</w:t>
            </w:r>
          </w:p>
        </w:tc>
      </w:tr>
    </w:tbl>
    <w:p w14:paraId="05A0EE3D">
      <w:pPr>
        <w:spacing w:line="560" w:lineRule="atLeast"/>
        <w:jc w:val="left"/>
        <w:rPr>
          <w:b/>
          <w:bCs/>
          <w:color w:val="auto"/>
          <w:kern w:val="0"/>
          <w:sz w:val="28"/>
          <w:highlight w:val="none"/>
        </w:rPr>
      </w:pPr>
      <w:r>
        <w:rPr>
          <w:rFonts w:hint="eastAsia" w:ascii="宋体" w:hAnsi="宋体"/>
          <w:b/>
          <w:bCs/>
          <w:color w:val="auto"/>
          <w:kern w:val="0"/>
          <w:sz w:val="24"/>
          <w:highlight w:val="none"/>
        </w:rPr>
        <w:t>4、</w:t>
      </w:r>
      <w:r>
        <w:rPr>
          <w:rFonts w:hint="eastAsia" w:ascii="宋体" w:hAnsi="宋体" w:cs="宋体"/>
          <w:b/>
          <w:bCs/>
          <w:color w:val="auto"/>
          <w:kern w:val="0"/>
          <w:sz w:val="24"/>
          <w:szCs w:val="24"/>
          <w:highlight w:val="none"/>
        </w:rPr>
        <w:t>以上表格数量为预测数量，最终每个包件结算以实际服务数量为准。</w:t>
      </w:r>
    </w:p>
    <w:p w14:paraId="76C1045B">
      <w:pPr>
        <w:widowControl/>
        <w:spacing w:line="400" w:lineRule="exact"/>
        <w:jc w:val="left"/>
        <w:rPr>
          <w:rFonts w:ascii="宋体" w:hAnsi="宋体" w:cs="宋体"/>
          <w:b/>
          <w:bCs/>
          <w:color w:val="auto"/>
          <w:sz w:val="24"/>
          <w:szCs w:val="24"/>
          <w:highlight w:val="none"/>
        </w:rPr>
      </w:pPr>
      <w:r>
        <w:rPr>
          <w:rFonts w:hint="eastAsia" w:ascii="宋体" w:hAnsi="宋体"/>
          <w:b/>
          <w:bCs/>
          <w:color w:val="auto"/>
          <w:sz w:val="24"/>
          <w:szCs w:val="24"/>
          <w:highlight w:val="none"/>
        </w:rPr>
        <w:t>5、</w:t>
      </w:r>
      <w:r>
        <w:rPr>
          <w:rFonts w:hint="eastAsia" w:ascii="宋体" w:hAnsi="宋体" w:cs="宋体"/>
          <w:b/>
          <w:bCs/>
          <w:color w:val="auto"/>
          <w:sz w:val="24"/>
          <w:szCs w:val="24"/>
          <w:highlight w:val="none"/>
          <w:u w:val="single"/>
        </w:rPr>
        <w:t>采购人设定的综合单价报价的最高投标限价：</w:t>
      </w:r>
      <w:r>
        <w:rPr>
          <w:rFonts w:hint="eastAsia" w:ascii="宋体" w:hAnsi="宋体" w:cs="宋体"/>
          <w:b/>
          <w:color w:val="auto"/>
          <w:sz w:val="24"/>
          <w:szCs w:val="24"/>
          <w:highlight w:val="none"/>
          <w:u w:val="single"/>
        </w:rPr>
        <w:t>特困人员生活费及运行费用，评定为自理、轻度失能特困人员入住综合单价最高限价2000元/人·月，评定为中度失能特困人员入住，综合单价最高限价2400元/人·月。评定为重度失能、完全失能特困人员入住，综合单价最高限价3000元/人·月。</w:t>
      </w:r>
      <w:r>
        <w:rPr>
          <w:rFonts w:hint="eastAsia" w:ascii="宋体" w:hAnsi="宋体" w:cs="宋体"/>
          <w:b/>
          <w:bCs/>
          <w:color w:val="auto"/>
          <w:sz w:val="24"/>
          <w:szCs w:val="24"/>
          <w:highlight w:val="none"/>
        </w:rPr>
        <w:t>超过最高限价要求的作无效标处理。</w:t>
      </w:r>
    </w:p>
    <w:p w14:paraId="3E8DAAC7">
      <w:pPr>
        <w:rPr>
          <w:rFonts w:ascii="宋体" w:hAnsi="宋体"/>
          <w:b/>
          <w:bCs/>
          <w:color w:val="auto"/>
          <w:sz w:val="24"/>
          <w:szCs w:val="24"/>
          <w:highlight w:val="none"/>
        </w:rPr>
      </w:pPr>
    </w:p>
    <w:p w14:paraId="48C2109D">
      <w:pPr>
        <w:rPr>
          <w:rFonts w:ascii="宋体" w:hAnsi="宋体"/>
          <w:color w:val="auto"/>
          <w:sz w:val="24"/>
          <w:szCs w:val="24"/>
          <w:highlight w:val="none"/>
        </w:rPr>
      </w:pPr>
    </w:p>
    <w:p w14:paraId="1962628E">
      <w:pPr>
        <w:rPr>
          <w:rFonts w:ascii="宋体" w:hAnsi="宋体"/>
          <w:color w:val="auto"/>
          <w:sz w:val="24"/>
          <w:szCs w:val="24"/>
          <w:highlight w:val="none"/>
        </w:rPr>
      </w:pPr>
    </w:p>
    <w:p w14:paraId="1D61CCC5">
      <w:pPr>
        <w:rPr>
          <w:rFonts w:ascii="宋体" w:hAnsi="宋体"/>
          <w:color w:val="auto"/>
          <w:sz w:val="24"/>
          <w:szCs w:val="24"/>
          <w:highlight w:val="none"/>
        </w:rPr>
      </w:pPr>
    </w:p>
    <w:p w14:paraId="7EBBF369">
      <w:pPr>
        <w:numPr>
          <w:ilvl w:val="0"/>
          <w:numId w:val="0"/>
        </w:numPr>
        <w:jc w:val="center"/>
        <w:rPr>
          <w:rFonts w:hint="eastAsia" w:ascii="宋体" w:hAnsi="宋体" w:eastAsia="宋体" w:cs="宋体"/>
          <w:i/>
          <w:color w:val="auto"/>
          <w:kern w:val="2"/>
          <w:sz w:val="32"/>
          <w:szCs w:val="32"/>
          <w:highlight w:val="none"/>
          <w:lang w:val="en-US" w:eastAsia="zh-CN" w:bidi="ar-SA"/>
        </w:rPr>
      </w:pPr>
      <w:r>
        <w:rPr>
          <w:rFonts w:hint="eastAsia" w:ascii="宋体" w:hAnsi="宋体" w:eastAsia="宋体" w:cs="宋体"/>
          <w:i/>
          <w:color w:val="auto"/>
          <w:kern w:val="2"/>
          <w:sz w:val="32"/>
          <w:szCs w:val="32"/>
          <w:highlight w:val="none"/>
          <w:lang w:val="en-US" w:eastAsia="zh-CN" w:bidi="ar-SA"/>
        </w:rPr>
        <w:t>十</w:t>
      </w:r>
      <w:r>
        <w:rPr>
          <w:rFonts w:hint="eastAsia" w:ascii="宋体" w:hAnsi="宋体" w:cs="宋体"/>
          <w:i/>
          <w:color w:val="auto"/>
          <w:kern w:val="2"/>
          <w:sz w:val="32"/>
          <w:szCs w:val="32"/>
          <w:highlight w:val="none"/>
          <w:lang w:val="en-US" w:eastAsia="zh-CN" w:bidi="ar-SA"/>
        </w:rPr>
        <w:t>七</w:t>
      </w:r>
      <w:r>
        <w:rPr>
          <w:rFonts w:hint="eastAsia" w:ascii="宋体" w:hAnsi="宋体" w:eastAsia="宋体" w:cs="宋体"/>
          <w:i/>
          <w:color w:val="auto"/>
          <w:kern w:val="2"/>
          <w:sz w:val="32"/>
          <w:szCs w:val="32"/>
          <w:highlight w:val="none"/>
          <w:lang w:val="en-US" w:eastAsia="zh-CN" w:bidi="ar-SA"/>
        </w:rPr>
        <w:t>、缴纳保险承诺书</w:t>
      </w:r>
    </w:p>
    <w:p w14:paraId="6C39D8E9">
      <w:pPr>
        <w:spacing w:line="360" w:lineRule="auto"/>
        <w:ind w:firstLine="313" w:firstLineChars="112"/>
        <w:jc w:val="center"/>
        <w:rPr>
          <w:rFonts w:ascii="宋体" w:hAnsi="宋体" w:cs="宋体"/>
          <w:color w:val="auto"/>
          <w:sz w:val="28"/>
          <w:szCs w:val="28"/>
          <w:highlight w:val="none"/>
        </w:rPr>
      </w:pPr>
    </w:p>
    <w:p w14:paraId="2F781958">
      <w:pPr>
        <w:widowControl/>
        <w:spacing w:line="500" w:lineRule="exact"/>
        <w:jc w:val="left"/>
        <w:rPr>
          <w:rFonts w:ascii="宋体" w:hAnsi="宋体"/>
          <w:color w:val="auto"/>
          <w:sz w:val="24"/>
          <w:highlight w:val="none"/>
        </w:rPr>
      </w:pPr>
      <w:r>
        <w:rPr>
          <w:rFonts w:hint="eastAsia" w:ascii="宋体" w:hAnsi="宋体"/>
          <w:color w:val="auto"/>
          <w:sz w:val="24"/>
          <w:highlight w:val="none"/>
        </w:rPr>
        <w:t>滨海县</w:t>
      </w:r>
      <w:r>
        <w:rPr>
          <w:rFonts w:hint="eastAsia" w:ascii="宋体" w:hAnsi="宋体"/>
          <w:color w:val="auto"/>
          <w:sz w:val="24"/>
          <w:highlight w:val="none"/>
          <w:lang w:val="en-US" w:eastAsia="zh-CN"/>
        </w:rPr>
        <w:t>通榆镇人民政府</w:t>
      </w:r>
      <w:r>
        <w:rPr>
          <w:rFonts w:hint="eastAsia" w:ascii="宋体" w:hAnsi="宋体"/>
          <w:color w:val="auto"/>
          <w:sz w:val="24"/>
          <w:highlight w:val="none"/>
        </w:rPr>
        <w:t>：</w:t>
      </w:r>
    </w:p>
    <w:p w14:paraId="2A47CD62">
      <w:pPr>
        <w:widowControl/>
        <w:spacing w:line="500" w:lineRule="exact"/>
        <w:ind w:firstLine="480" w:firstLineChars="200"/>
        <w:jc w:val="left"/>
        <w:rPr>
          <w:rFonts w:hint="eastAsia" w:ascii="宋体" w:hAnsi="宋体" w:eastAsia="宋体"/>
          <w:color w:val="auto"/>
          <w:sz w:val="24"/>
          <w:highlight w:val="none"/>
          <w:lang w:eastAsia="zh-CN"/>
        </w:rPr>
      </w:pPr>
      <w:r>
        <w:rPr>
          <w:rFonts w:hint="eastAsia" w:ascii="宋体" w:hAnsi="宋体"/>
          <w:color w:val="auto"/>
          <w:sz w:val="24"/>
          <w:highlight w:val="none"/>
        </w:rPr>
        <w:t>贵单位关于</w:t>
      </w:r>
      <w:r>
        <w:rPr>
          <w:rFonts w:hint="eastAsia" w:ascii="宋体" w:hAnsi="宋体"/>
          <w:color w:val="auto"/>
          <w:sz w:val="24"/>
          <w:highlight w:val="none"/>
          <w:lang w:eastAsia="zh-CN"/>
        </w:rPr>
        <w:t>2026年-2029年通榆镇养老服务中心运营机构招标项目</w:t>
      </w:r>
      <w:r>
        <w:rPr>
          <w:rFonts w:hint="eastAsia" w:ascii="宋体" w:hAnsi="宋体"/>
          <w:color w:val="auto"/>
          <w:sz w:val="24"/>
          <w:highlight w:val="none"/>
        </w:rPr>
        <w:t>的招标文件（包括补充文件，如有）收悉，我们经详细审阅和研究，承诺中标后为全日制员工缴纳社会保险</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为</w:t>
      </w:r>
      <w:r>
        <w:rPr>
          <w:rFonts w:hint="eastAsia" w:ascii="宋体" w:hAnsi="宋体"/>
          <w:color w:val="auto"/>
          <w:sz w:val="24"/>
          <w:highlight w:val="none"/>
        </w:rPr>
        <w:t>计时制员工投保不低于 20 万元意外伤害保险。完全满足招标文件履约及人员保障要求</w:t>
      </w:r>
      <w:r>
        <w:rPr>
          <w:rFonts w:hint="eastAsia" w:ascii="宋体" w:hAnsi="宋体"/>
          <w:color w:val="auto"/>
          <w:sz w:val="24"/>
          <w:highlight w:val="none"/>
          <w:lang w:eastAsia="zh-CN"/>
        </w:rPr>
        <w:t>。若承诺未兑现或材料任一不符，自愿接受本团队评分项全部不得分及相关评审后果。</w:t>
      </w:r>
    </w:p>
    <w:p w14:paraId="51983DE2">
      <w:pPr>
        <w:widowControl/>
        <w:spacing w:line="500" w:lineRule="exact"/>
        <w:ind w:firstLine="480" w:firstLineChars="200"/>
        <w:jc w:val="left"/>
        <w:rPr>
          <w:rFonts w:ascii="宋体" w:hAnsi="宋体"/>
          <w:color w:val="auto"/>
          <w:sz w:val="24"/>
          <w:highlight w:val="none"/>
        </w:rPr>
      </w:pPr>
    </w:p>
    <w:p w14:paraId="51C22D13">
      <w:pPr>
        <w:widowControl/>
        <w:spacing w:line="500" w:lineRule="exact"/>
        <w:ind w:firstLine="480" w:firstLineChars="200"/>
        <w:jc w:val="left"/>
        <w:rPr>
          <w:rFonts w:ascii="宋体" w:hAnsi="宋体"/>
          <w:color w:val="auto"/>
          <w:sz w:val="24"/>
          <w:highlight w:val="none"/>
        </w:rPr>
      </w:pPr>
    </w:p>
    <w:p w14:paraId="31BEC535">
      <w:pPr>
        <w:widowControl/>
        <w:spacing w:line="500" w:lineRule="exact"/>
        <w:ind w:firstLine="4920" w:firstLineChars="2050"/>
        <w:jc w:val="left"/>
        <w:rPr>
          <w:rFonts w:ascii="宋体" w:hAnsi="宋体"/>
          <w:color w:val="auto"/>
          <w:sz w:val="24"/>
          <w:highlight w:val="none"/>
        </w:rPr>
      </w:pPr>
      <w:r>
        <w:rPr>
          <w:rFonts w:hint="eastAsia" w:ascii="宋体" w:hAnsi="宋体"/>
          <w:color w:val="auto"/>
          <w:sz w:val="24"/>
          <w:highlight w:val="none"/>
        </w:rPr>
        <w:t>法定代表人签名：</w:t>
      </w:r>
    </w:p>
    <w:p w14:paraId="38E5CB0E">
      <w:pPr>
        <w:widowControl/>
        <w:spacing w:line="50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                                     单位名称（盖章）：</w:t>
      </w:r>
    </w:p>
    <w:p w14:paraId="5194015B">
      <w:pPr>
        <w:widowControl/>
        <w:spacing w:line="50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                                      年    月    日</w:t>
      </w:r>
    </w:p>
    <w:p w14:paraId="6ABEB5D5">
      <w:pPr>
        <w:spacing w:line="360" w:lineRule="auto"/>
        <w:ind w:firstLine="560" w:firstLineChars="200"/>
        <w:rPr>
          <w:rFonts w:ascii="宋体" w:hAnsi="宋体" w:cs="宋体"/>
          <w:color w:val="auto"/>
          <w:sz w:val="28"/>
          <w:szCs w:val="28"/>
          <w:highlight w:val="none"/>
        </w:rPr>
      </w:pPr>
    </w:p>
    <w:p w14:paraId="3E12C085">
      <w:pPr>
        <w:wordWrap w:val="0"/>
        <w:spacing w:line="560" w:lineRule="exact"/>
        <w:jc w:val="center"/>
        <w:rPr>
          <w:b/>
          <w:bCs/>
          <w:color w:val="auto"/>
          <w:sz w:val="32"/>
          <w:szCs w:val="32"/>
          <w:highlight w:val="none"/>
        </w:rPr>
      </w:pPr>
    </w:p>
    <w:p w14:paraId="1A554E6D">
      <w:pPr>
        <w:wordWrap w:val="0"/>
        <w:spacing w:line="560" w:lineRule="exact"/>
        <w:jc w:val="center"/>
        <w:rPr>
          <w:b/>
          <w:bCs/>
          <w:color w:val="auto"/>
          <w:sz w:val="32"/>
          <w:szCs w:val="32"/>
          <w:highlight w:val="none"/>
        </w:rPr>
      </w:pPr>
    </w:p>
    <w:p w14:paraId="6B00F100">
      <w:pPr>
        <w:wordWrap w:val="0"/>
        <w:spacing w:line="560" w:lineRule="exact"/>
        <w:jc w:val="center"/>
        <w:rPr>
          <w:b/>
          <w:bCs/>
          <w:color w:val="auto"/>
          <w:sz w:val="32"/>
          <w:szCs w:val="32"/>
          <w:highlight w:val="none"/>
        </w:rPr>
      </w:pPr>
    </w:p>
    <w:p w14:paraId="23FB0BE8">
      <w:pPr>
        <w:wordWrap w:val="0"/>
        <w:spacing w:line="560" w:lineRule="exact"/>
        <w:jc w:val="center"/>
        <w:rPr>
          <w:b/>
          <w:bCs/>
          <w:color w:val="auto"/>
          <w:sz w:val="32"/>
          <w:szCs w:val="32"/>
          <w:highlight w:val="none"/>
        </w:rPr>
      </w:pPr>
    </w:p>
    <w:p w14:paraId="2E32AF5D">
      <w:pPr>
        <w:wordWrap w:val="0"/>
        <w:spacing w:line="560" w:lineRule="exact"/>
        <w:jc w:val="center"/>
        <w:rPr>
          <w:b/>
          <w:bCs/>
          <w:color w:val="auto"/>
          <w:sz w:val="32"/>
          <w:szCs w:val="32"/>
          <w:highlight w:val="none"/>
        </w:rPr>
      </w:pPr>
    </w:p>
    <w:p w14:paraId="740455AA">
      <w:pPr>
        <w:wordWrap w:val="0"/>
        <w:spacing w:line="560" w:lineRule="exact"/>
        <w:jc w:val="center"/>
        <w:rPr>
          <w:b/>
          <w:bCs/>
          <w:color w:val="auto"/>
          <w:sz w:val="32"/>
          <w:szCs w:val="32"/>
          <w:highlight w:val="none"/>
        </w:rPr>
      </w:pPr>
    </w:p>
    <w:p w14:paraId="04E9180F">
      <w:pPr>
        <w:wordWrap w:val="0"/>
        <w:spacing w:line="560" w:lineRule="exact"/>
        <w:jc w:val="center"/>
        <w:rPr>
          <w:b/>
          <w:bCs/>
          <w:color w:val="auto"/>
          <w:sz w:val="32"/>
          <w:szCs w:val="32"/>
          <w:highlight w:val="none"/>
        </w:rPr>
      </w:pPr>
    </w:p>
    <w:p w14:paraId="52C4CFB0">
      <w:pPr>
        <w:wordWrap w:val="0"/>
        <w:spacing w:line="560" w:lineRule="exact"/>
        <w:jc w:val="center"/>
        <w:rPr>
          <w:b/>
          <w:bCs/>
          <w:color w:val="auto"/>
          <w:sz w:val="32"/>
          <w:szCs w:val="32"/>
          <w:highlight w:val="none"/>
        </w:rPr>
      </w:pPr>
    </w:p>
    <w:p w14:paraId="0EDB817F">
      <w:pPr>
        <w:wordWrap w:val="0"/>
        <w:spacing w:line="560" w:lineRule="exact"/>
        <w:jc w:val="center"/>
        <w:rPr>
          <w:b/>
          <w:bCs/>
          <w:color w:val="auto"/>
          <w:sz w:val="32"/>
          <w:szCs w:val="32"/>
          <w:highlight w:val="none"/>
        </w:rPr>
      </w:pPr>
    </w:p>
    <w:p w14:paraId="525C3B8A">
      <w:pPr>
        <w:wordWrap w:val="0"/>
        <w:spacing w:line="560" w:lineRule="exact"/>
        <w:jc w:val="center"/>
        <w:rPr>
          <w:b/>
          <w:bCs/>
          <w:color w:val="auto"/>
          <w:sz w:val="32"/>
          <w:szCs w:val="32"/>
          <w:highlight w:val="none"/>
        </w:rPr>
      </w:pPr>
    </w:p>
    <w:p w14:paraId="7111F16A">
      <w:pPr>
        <w:wordWrap w:val="0"/>
        <w:spacing w:line="560" w:lineRule="exact"/>
        <w:jc w:val="center"/>
        <w:rPr>
          <w:b/>
          <w:bCs/>
          <w:color w:val="auto"/>
          <w:sz w:val="32"/>
          <w:szCs w:val="32"/>
          <w:highlight w:val="none"/>
        </w:rPr>
      </w:pPr>
    </w:p>
    <w:bookmarkEnd w:id="160"/>
    <w:bookmarkEnd w:id="161"/>
    <w:bookmarkEnd w:id="162"/>
    <w:p w14:paraId="7004870A">
      <w:pPr>
        <w:widowControl/>
        <w:spacing w:before="50" w:after="50"/>
        <w:jc w:val="center"/>
        <w:rPr>
          <w:rFonts w:ascii="宋体" w:hAnsi="宋体" w:eastAsia="宋体" w:cs="宋体"/>
          <w:b/>
          <w:bCs/>
          <w:sz w:val="24"/>
          <w:szCs w:val="24"/>
          <w:highlight w:val="none"/>
        </w:rPr>
      </w:pPr>
      <w:r>
        <w:rPr>
          <w:rFonts w:hint="eastAsia" w:ascii="宋体" w:hAnsi="宋体" w:eastAsia="宋体" w:cs="宋体"/>
          <w:i/>
          <w:color w:val="auto"/>
          <w:sz w:val="32"/>
          <w:szCs w:val="32"/>
          <w:highlight w:val="none"/>
          <w:u w:val="single"/>
        </w:rPr>
        <w:br w:type="page"/>
      </w:r>
      <w:r>
        <w:rPr>
          <w:rFonts w:hint="eastAsia" w:ascii="宋体" w:hAnsi="宋体" w:eastAsia="宋体" w:cs="宋体"/>
          <w:b/>
          <w:bCs/>
          <w:color w:val="000000"/>
          <w:sz w:val="32"/>
          <w:szCs w:val="32"/>
          <w:highlight w:val="none"/>
        </w:rPr>
        <w:t>十</w:t>
      </w:r>
      <w:r>
        <w:rPr>
          <w:rFonts w:hint="eastAsia" w:ascii="宋体" w:hAnsi="宋体" w:cs="宋体"/>
          <w:b/>
          <w:bCs/>
          <w:color w:val="000000"/>
          <w:sz w:val="32"/>
          <w:szCs w:val="32"/>
          <w:highlight w:val="none"/>
          <w:lang w:val="en-US" w:eastAsia="zh-CN"/>
        </w:rPr>
        <w:t>八</w:t>
      </w:r>
      <w:r>
        <w:rPr>
          <w:rFonts w:hint="eastAsia" w:ascii="宋体" w:hAnsi="宋体" w:eastAsia="宋体" w:cs="宋体"/>
          <w:b/>
          <w:bCs/>
          <w:color w:val="000000"/>
          <w:sz w:val="32"/>
          <w:szCs w:val="32"/>
          <w:highlight w:val="none"/>
        </w:rPr>
        <w:t>、技术方案、服务承诺、培训承诺等</w:t>
      </w:r>
    </w:p>
    <w:p w14:paraId="46C029B8">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r>
    </w:p>
    <w:p w14:paraId="6E558910">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十</w:t>
      </w:r>
      <w:r>
        <w:rPr>
          <w:rFonts w:hint="eastAsia" w:ascii="宋体" w:hAnsi="宋体" w:cs="宋体"/>
          <w:i/>
          <w:color w:val="auto"/>
          <w:sz w:val="32"/>
          <w:szCs w:val="32"/>
          <w:highlight w:val="none"/>
          <w:u w:val="single"/>
          <w:lang w:val="en-US" w:eastAsia="zh-CN"/>
        </w:rPr>
        <w:t>九</w:t>
      </w:r>
      <w:r>
        <w:rPr>
          <w:rFonts w:hint="eastAsia" w:ascii="宋体" w:hAnsi="宋体" w:eastAsia="宋体" w:cs="宋体"/>
          <w:i/>
          <w:color w:val="auto"/>
          <w:sz w:val="32"/>
          <w:szCs w:val="32"/>
          <w:highlight w:val="none"/>
          <w:u w:val="single"/>
        </w:rPr>
        <w:t>、盐城市政府采购事前信用承诺书</w:t>
      </w:r>
    </w:p>
    <w:p w14:paraId="5B71DDC5">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为营造我市公开、公平、公正、诚实守信的政府采购交易环境，树立诚信守法的供应商形象，本人代表本单位作出以下承诺：</w:t>
      </w:r>
    </w:p>
    <w:p w14:paraId="67126C5E">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086B4936">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5872F1">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71642BC6">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（四）严格遵守即时信息公示规定，及时维护和更新盐城市政府采购网中与本单位相关的信息；</w:t>
      </w:r>
    </w:p>
    <w:p w14:paraId="608CB528">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58CCBF2">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5545C99B">
      <w:pPr>
        <w:widowControl/>
        <w:spacing w:line="50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D31DAF8">
      <w:pPr>
        <w:widowControl/>
        <w:spacing w:line="5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w:t>
      </w:r>
      <w:r>
        <w:rPr>
          <w:rFonts w:hint="eastAsia" w:ascii="宋体" w:hAnsi="宋体" w:cs="宋体"/>
          <w:color w:val="auto"/>
          <w:sz w:val="24"/>
          <w:highlight w:val="none"/>
          <w:lang w:eastAsia="zh-CN"/>
        </w:rPr>
        <w:t>做</w:t>
      </w:r>
      <w:r>
        <w:rPr>
          <w:rFonts w:hint="eastAsia" w:ascii="宋体" w:hAnsi="宋体" w:eastAsia="宋体" w:cs="宋体"/>
          <w:color w:val="auto"/>
          <w:sz w:val="24"/>
          <w:highlight w:val="none"/>
        </w:rPr>
        <w:t>了宣传教育。</w:t>
      </w:r>
    </w:p>
    <w:p w14:paraId="4212431F">
      <w:pPr>
        <w:widowControl/>
        <w:spacing w:line="500" w:lineRule="exact"/>
        <w:jc w:val="left"/>
        <w:rPr>
          <w:rFonts w:hint="eastAsia" w:ascii="宋体" w:hAnsi="宋体" w:eastAsia="宋体" w:cs="宋体"/>
          <w:color w:val="auto"/>
          <w:sz w:val="24"/>
          <w:highlight w:val="none"/>
        </w:rPr>
      </w:pPr>
    </w:p>
    <w:p w14:paraId="44BBB89C">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p>
    <w:p w14:paraId="3421C455">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p>
    <w:p w14:paraId="4BD6D1C3">
      <w:pPr>
        <w:widowControl/>
        <w:spacing w:line="5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18B6D92C">
      <w:pPr>
        <w:pStyle w:val="109"/>
        <w:ind w:firstLine="480"/>
        <w:jc w:val="left"/>
        <w:rPr>
          <w:rFonts w:hint="eastAsia" w:ascii="宋体" w:hAnsi="宋体" w:eastAsia="宋体" w:cs="宋体"/>
          <w:color w:val="auto"/>
          <w:sz w:val="24"/>
          <w:szCs w:val="21"/>
          <w:highlight w:val="none"/>
        </w:rPr>
      </w:pPr>
    </w:p>
    <w:p w14:paraId="179E3D89">
      <w:pPr>
        <w:pStyle w:val="109"/>
        <w:ind w:firstLine="480"/>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（此材料须签名盖章后放进投标文件中）</w:t>
      </w:r>
    </w:p>
    <w:p w14:paraId="18E3C0DC">
      <w:pPr>
        <w:pStyle w:val="4"/>
        <w:jc w:val="center"/>
        <w:rPr>
          <w:rFonts w:hint="eastAsia" w:ascii="宋体" w:hAnsi="宋体" w:eastAsia="宋体" w:cs="宋体"/>
          <w:color w:val="auto"/>
          <w:highlight w:val="none"/>
        </w:rPr>
      </w:pPr>
      <w:r>
        <w:rPr>
          <w:rFonts w:hint="eastAsia" w:ascii="宋体" w:hAnsi="宋体" w:cs="宋体"/>
          <w:i/>
          <w:color w:val="auto"/>
          <w:sz w:val="32"/>
          <w:szCs w:val="32"/>
          <w:highlight w:val="none"/>
          <w:u w:val="single"/>
          <w:lang w:val="en-US" w:eastAsia="zh-CN"/>
        </w:rPr>
        <w:t>二十</w:t>
      </w:r>
      <w:bookmarkStart w:id="174" w:name="_GoBack"/>
      <w:bookmarkEnd w:id="174"/>
      <w:r>
        <w:rPr>
          <w:rFonts w:hint="eastAsia" w:ascii="宋体" w:hAnsi="宋体" w:eastAsia="宋体" w:cs="宋体"/>
          <w:i/>
          <w:color w:val="auto"/>
          <w:sz w:val="32"/>
          <w:szCs w:val="32"/>
          <w:highlight w:val="none"/>
          <w:u w:val="single"/>
        </w:rPr>
        <w:t>、其他材料（如有）</w:t>
      </w:r>
    </w:p>
    <w:p w14:paraId="4C192A24">
      <w:pPr>
        <w:pStyle w:val="5"/>
        <w:rPr>
          <w:rFonts w:hint="eastAsia" w:ascii="宋体" w:hAnsi="宋体" w:eastAsia="宋体" w:cs="宋体"/>
          <w:color w:val="auto"/>
          <w:highlight w:val="none"/>
        </w:rPr>
      </w:pPr>
      <w:r>
        <w:rPr>
          <w:rFonts w:hint="eastAsia" w:ascii="宋体" w:hAnsi="宋体" w:eastAsia="宋体" w:cs="宋体"/>
          <w:color w:val="auto"/>
          <w:sz w:val="24"/>
          <w:highlight w:val="none"/>
        </w:rPr>
        <w:t>投标人认为应提交的其他资料：相关证书、实施</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方案等资料（投标人按</w:t>
      </w:r>
      <w:r>
        <w:rPr>
          <w:rFonts w:hint="eastAsia" w:ascii="宋体" w:hAnsi="宋体" w:eastAsia="宋体" w:cs="宋体"/>
          <w:color w:val="auto"/>
          <w:sz w:val="24"/>
          <w:highlight w:val="none"/>
          <w:lang w:val="en-US" w:eastAsia="zh-CN"/>
        </w:rPr>
        <w:t>招标文件的要求及</w:t>
      </w:r>
      <w:r>
        <w:rPr>
          <w:rFonts w:hint="eastAsia" w:ascii="宋体" w:hAnsi="宋体" w:eastAsia="宋体" w:cs="宋体"/>
          <w:color w:val="auto"/>
          <w:sz w:val="24"/>
          <w:highlight w:val="none"/>
        </w:rPr>
        <w:t>评分标准要求分点表述，格式自拟）</w:t>
      </w:r>
      <w:r>
        <w:rPr>
          <w:rFonts w:hint="eastAsia" w:ascii="宋体" w:hAnsi="宋体" w:eastAsia="宋体" w:cs="宋体"/>
          <w:b/>
          <w:bCs/>
          <w:color w:val="auto"/>
          <w:sz w:val="24"/>
          <w:highlight w:val="none"/>
        </w:rPr>
        <w:t>均应加盖单位公章</w:t>
      </w:r>
    </w:p>
    <w:p w14:paraId="1DB0C299">
      <w:pPr>
        <w:rPr>
          <w:color w:val="auto"/>
          <w:highlight w:val="none"/>
        </w:rPr>
      </w:pPr>
      <w:r>
        <w:rPr>
          <w:color w:val="auto"/>
          <w:highlight w:val="none"/>
        </w:rPr>
        <w:br w:type="page"/>
      </w:r>
    </w:p>
    <w:p w14:paraId="20908B4F">
      <w:pPr>
        <w:pStyle w:val="39"/>
        <w:spacing w:beforeAutospacing="0" w:afterAutospacing="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质疑函范本</w:t>
      </w:r>
    </w:p>
    <w:p w14:paraId="40880684">
      <w:pPr>
        <w:pStyle w:val="39"/>
        <w:spacing w:before="290"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一、质疑供应商基本信息</w:t>
      </w:r>
    </w:p>
    <w:p w14:paraId="35F07462">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质疑供应商：</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p>
    <w:p w14:paraId="64FF0C35">
      <w:pPr>
        <w:pStyle w:val="39"/>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地址：</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2BC98C85">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邮编：</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p>
    <w:p w14:paraId="17FCBDA3">
      <w:pPr>
        <w:pStyle w:val="39"/>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联系人：</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3D2E0984">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联系电话：</w:t>
      </w:r>
      <w:r>
        <w:rPr>
          <w:rFonts w:hint="eastAsia" w:ascii="宋体" w:hAnsi="宋体" w:eastAsia="宋体" w:cs="宋体"/>
          <w:bCs/>
          <w:color w:val="auto"/>
          <w:szCs w:val="24"/>
          <w:highlight w:val="none"/>
          <w:u w:val="single"/>
        </w:rPr>
        <w:t xml:space="preserve">                                </w:t>
      </w:r>
    </w:p>
    <w:p w14:paraId="0966FD8B">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授权代表：</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4169F68E">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联系电话：</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308F3C36">
      <w:pPr>
        <w:pStyle w:val="39"/>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地址： </w:t>
      </w:r>
      <w:r>
        <w:rPr>
          <w:rFonts w:hint="eastAsia" w:ascii="宋体" w:hAnsi="宋体" w:eastAsia="宋体" w:cs="宋体"/>
          <w:bCs/>
          <w:color w:val="auto"/>
          <w:szCs w:val="24"/>
          <w:highlight w:val="none"/>
          <w:u w:val="single"/>
        </w:rPr>
        <w:t>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6354C8C4">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邮编：</w:t>
      </w:r>
      <w:r>
        <w:rPr>
          <w:rFonts w:hint="eastAsia" w:ascii="宋体" w:hAnsi="宋体" w:eastAsia="宋体" w:cs="宋体"/>
          <w:bCs/>
          <w:color w:val="auto"/>
          <w:szCs w:val="24"/>
          <w:highlight w:val="none"/>
          <w:u w:val="single"/>
        </w:rPr>
        <w:t>                         </w:t>
      </w:r>
    </w:p>
    <w:p w14:paraId="5A419280">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二、质疑项目基本情况</w:t>
      </w:r>
    </w:p>
    <w:p w14:paraId="32BDDDA0">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质疑项目的名称：</w:t>
      </w:r>
      <w:r>
        <w:rPr>
          <w:rFonts w:hint="eastAsia" w:ascii="宋体" w:hAnsi="宋体" w:eastAsia="宋体" w:cs="宋体"/>
          <w:bCs/>
          <w:color w:val="auto"/>
          <w:szCs w:val="24"/>
          <w:highlight w:val="none"/>
          <w:u w:val="single"/>
        </w:rPr>
        <w:t xml:space="preserve">                      </w:t>
      </w:r>
    </w:p>
    <w:p w14:paraId="48C84804">
      <w:pPr>
        <w:pStyle w:val="39"/>
        <w:spacing w:beforeAutospacing="0" w:afterAutospacing="0"/>
        <w:jc w:val="both"/>
        <w:rPr>
          <w:rFonts w:hint="eastAsia" w:ascii="宋体" w:hAnsi="宋体" w:eastAsia="宋体" w:cs="宋体"/>
          <w:bCs/>
          <w:color w:val="auto"/>
          <w:szCs w:val="24"/>
          <w:highlight w:val="none"/>
          <w:u w:val="single"/>
        </w:rPr>
      </w:pPr>
      <w:r>
        <w:rPr>
          <w:rFonts w:hint="eastAsia" w:ascii="宋体" w:hAnsi="宋体" w:eastAsia="宋体" w:cs="宋体"/>
          <w:bCs/>
          <w:color w:val="auto"/>
          <w:szCs w:val="24"/>
          <w:highlight w:val="none"/>
        </w:rPr>
        <w:t>质疑项目的编号：</w:t>
      </w:r>
      <w:r>
        <w:rPr>
          <w:rFonts w:hint="eastAsia" w:ascii="宋体" w:hAnsi="宋体" w:eastAsia="宋体" w:cs="宋体"/>
          <w:bCs/>
          <w:color w:val="auto"/>
          <w:szCs w:val="24"/>
          <w:highlight w:val="none"/>
          <w:u w:val="single"/>
        </w:rPr>
        <w:t>                    </w:t>
      </w:r>
    </w:p>
    <w:p w14:paraId="27DF80C2">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包号：</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szCs w:val="24"/>
          <w:highlight w:val="none"/>
          <w:u w:val="single"/>
        </w:rPr>
        <w:tab/>
      </w:r>
      <w:r>
        <w:rPr>
          <w:rFonts w:hint="eastAsia" w:ascii="宋体" w:hAnsi="宋体" w:eastAsia="宋体" w:cs="宋体"/>
          <w:bCs/>
          <w:color w:val="auto"/>
          <w:szCs w:val="24"/>
          <w:highlight w:val="none"/>
          <w:u w:val="single"/>
        </w:rPr>
        <w:tab/>
      </w:r>
    </w:p>
    <w:p w14:paraId="0F6C9C10">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采购人名称：</w:t>
      </w:r>
      <w:r>
        <w:rPr>
          <w:rFonts w:hint="eastAsia" w:ascii="宋体" w:hAnsi="宋体" w:eastAsia="宋体" w:cs="宋体"/>
          <w:bCs/>
          <w:color w:val="auto"/>
          <w:szCs w:val="24"/>
          <w:highlight w:val="none"/>
          <w:u w:val="single"/>
        </w:rPr>
        <w:t>                      </w:t>
      </w:r>
    </w:p>
    <w:p w14:paraId="0341AA75">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采购文件获取日期：</w:t>
      </w:r>
      <w:r>
        <w:rPr>
          <w:rFonts w:hint="eastAsia" w:ascii="宋体" w:hAnsi="宋体" w:eastAsia="宋体" w:cs="宋体"/>
          <w:bCs/>
          <w:color w:val="auto"/>
          <w:szCs w:val="24"/>
          <w:highlight w:val="none"/>
          <w:u w:val="single"/>
        </w:rPr>
        <w:t>                       </w:t>
      </w:r>
    </w:p>
    <w:p w14:paraId="0512C104">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三、质疑事项具体内容</w:t>
      </w:r>
    </w:p>
    <w:p w14:paraId="644FD447">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质疑事项1：</w:t>
      </w:r>
      <w:r>
        <w:rPr>
          <w:rFonts w:hint="eastAsia" w:ascii="宋体" w:hAnsi="宋体" w:eastAsia="宋体" w:cs="宋体"/>
          <w:bCs/>
          <w:color w:val="auto"/>
          <w:szCs w:val="24"/>
          <w:highlight w:val="none"/>
          <w:u w:val="single"/>
        </w:rPr>
        <w:t>                      </w:t>
      </w:r>
    </w:p>
    <w:p w14:paraId="761E0F9B">
      <w:pPr>
        <w:pStyle w:val="39"/>
        <w:spacing w:beforeAutospacing="0" w:afterAutospacing="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事实依据：</w:t>
      </w:r>
      <w:r>
        <w:rPr>
          <w:rFonts w:hint="eastAsia" w:ascii="宋体" w:hAnsi="宋体" w:eastAsia="宋体" w:cs="宋体"/>
          <w:bCs/>
          <w:color w:val="auto"/>
          <w:szCs w:val="24"/>
          <w:highlight w:val="none"/>
          <w:u w:val="single"/>
        </w:rPr>
        <w:t xml:space="preserve">                                        </w:t>
      </w:r>
    </w:p>
    <w:p w14:paraId="4B89C533">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法律依据：</w:t>
      </w:r>
      <w:r>
        <w:rPr>
          <w:rFonts w:hint="eastAsia" w:ascii="宋体" w:hAnsi="宋体" w:eastAsia="宋体" w:cs="宋体"/>
          <w:bCs/>
          <w:color w:val="auto"/>
          <w:szCs w:val="24"/>
          <w:highlight w:val="none"/>
          <w:u w:val="single"/>
        </w:rPr>
        <w:t xml:space="preserve">                                          </w:t>
      </w:r>
    </w:p>
    <w:p w14:paraId="59C1FE57">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质疑事项2</w:t>
      </w:r>
    </w:p>
    <w:p w14:paraId="78F66ED3">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w:t>
      </w:r>
    </w:p>
    <w:p w14:paraId="0A499C23">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四、与质疑事项相关的质疑请求</w:t>
      </w:r>
    </w:p>
    <w:p w14:paraId="5B1B5996">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请求：</w:t>
      </w:r>
      <w:r>
        <w:rPr>
          <w:rFonts w:hint="eastAsia" w:ascii="宋体" w:hAnsi="宋体" w:eastAsia="宋体" w:cs="宋体"/>
          <w:bCs/>
          <w:color w:val="auto"/>
          <w:szCs w:val="24"/>
          <w:highlight w:val="none"/>
          <w:u w:val="single"/>
        </w:rPr>
        <w:t xml:space="preserve">                                               </w:t>
      </w:r>
    </w:p>
    <w:p w14:paraId="10030BA5">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签字(签章)：                 公章：               日期：    </w:t>
      </w:r>
    </w:p>
    <w:p w14:paraId="22AE30B7">
      <w:pPr>
        <w:pStyle w:val="39"/>
        <w:spacing w:beforeAutospacing="0" w:afterAutospacing="0"/>
        <w:jc w:val="both"/>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质疑函制作说明：</w:t>
      </w:r>
    </w:p>
    <w:p w14:paraId="26F091D1">
      <w:pPr>
        <w:pStyle w:val="39"/>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1.供应商提出质疑时，应提交质疑函和必要的证明材料。</w:t>
      </w:r>
    </w:p>
    <w:p w14:paraId="06A54456">
      <w:pPr>
        <w:pStyle w:val="39"/>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D54438A">
      <w:pPr>
        <w:pStyle w:val="39"/>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3.质疑供应商若对项目的某一分包进行质疑，质疑函中应列明具体分包号。</w:t>
      </w:r>
    </w:p>
    <w:p w14:paraId="0674E448">
      <w:pPr>
        <w:pStyle w:val="39"/>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4.质疑函的质疑事项应具体、明确，并有必要的事实依据和法律依据。</w:t>
      </w:r>
    </w:p>
    <w:p w14:paraId="6C11037A">
      <w:pPr>
        <w:pStyle w:val="39"/>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5.质疑函的质疑请求应与质疑事项相关。</w:t>
      </w:r>
    </w:p>
    <w:p w14:paraId="5BE9B322">
      <w:pPr>
        <w:pStyle w:val="39"/>
        <w:widowControl/>
        <w:spacing w:beforeAutospacing="0" w:afterAutospacing="0"/>
        <w:ind w:firstLine="48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Arial Unicode MS">
    <w:panose1 w:val="020B0604020202020204"/>
    <w:charset w:val="86"/>
    <w:family w:val="swiss"/>
    <w:pitch w:val="default"/>
    <w:sig w:usb0="FFFFFFFF" w:usb1="E9FFFFFF" w:usb2="0000003F" w:usb3="00000000" w:csb0="603F01FF" w:csb1="FFFF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font>
  <w:font w:name="Showcard Gothic">
    <w:panose1 w:val="04020904020102020604"/>
    <w:charset w:val="00"/>
    <w:family w:val="decorative"/>
    <w:pitch w:val="default"/>
    <w:sig w:usb0="00000003" w:usb1="00000000" w:usb2="00000000" w:usb3="00000000" w:csb0="20000001" w:csb1="00000000"/>
  </w:font>
  <w:font w:name="方正魏碑_GBK">
    <w:altName w:val="宋体"/>
    <w:panose1 w:val="03000509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KSOF6B65719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8EED4">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3CF99D18">
                          <w:pPr>
                            <w:pStyle w:val="28"/>
                          </w:pPr>
                          <w:r>
                            <w:fldChar w:fldCharType="begin"/>
                          </w:r>
                          <w:r>
                            <w:instrText xml:space="preserve"> PAGE  \* MERGEFORMAT </w:instrText>
                          </w:r>
                          <w:r>
                            <w:fldChar w:fldCharType="separate"/>
                          </w:r>
                          <w:r>
                            <w:t>35</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z4vdRNAAAAACAQAADwAAAAAAAAABACAAAAAiAAAAZHJzL2Rvd25yZXYueG1sUEsB&#10;AhQAFAAAAAgAh07iQMTKPcb9AQAADgQAAA4AAAAAAAAAAQAgAAAAHwEAAGRycy9lMm9Eb2MueG1s&#10;UEsFBgAAAAAGAAYAWQEAAI4FAAAAAA==&#10;">
              <v:fill on="f" focussize="0,0"/>
              <v:stroke on="f"/>
              <v:imagedata o:title=""/>
              <o:lock v:ext="edit" aspectratio="f"/>
              <v:textbox inset="0mm,0mm,0mm,0mm" style="mso-fit-shape-to-text:t;">
                <w:txbxContent>
                  <w:p w14:paraId="3CF99D18">
                    <w:pPr>
                      <w:pStyle w:val="2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37B"/>
    <w:rsid w:val="000F027E"/>
    <w:rsid w:val="0012299F"/>
    <w:rsid w:val="001B6FA2"/>
    <w:rsid w:val="001C07F5"/>
    <w:rsid w:val="001C7BB0"/>
    <w:rsid w:val="003A76D3"/>
    <w:rsid w:val="00435FE3"/>
    <w:rsid w:val="004B42E5"/>
    <w:rsid w:val="0053141A"/>
    <w:rsid w:val="00691B64"/>
    <w:rsid w:val="00773D6A"/>
    <w:rsid w:val="007B6D76"/>
    <w:rsid w:val="00824A59"/>
    <w:rsid w:val="0088071F"/>
    <w:rsid w:val="00962D0D"/>
    <w:rsid w:val="00A334A9"/>
    <w:rsid w:val="00AC2097"/>
    <w:rsid w:val="00AE137B"/>
    <w:rsid w:val="00B54C0F"/>
    <w:rsid w:val="00BE0FA4"/>
    <w:rsid w:val="00C73E88"/>
    <w:rsid w:val="00CA5854"/>
    <w:rsid w:val="00D008EA"/>
    <w:rsid w:val="00D66C1E"/>
    <w:rsid w:val="00DB6AFA"/>
    <w:rsid w:val="00DD288A"/>
    <w:rsid w:val="00FB1B47"/>
    <w:rsid w:val="012670EA"/>
    <w:rsid w:val="017E6C3E"/>
    <w:rsid w:val="024E4870"/>
    <w:rsid w:val="03EA43FF"/>
    <w:rsid w:val="04335DA6"/>
    <w:rsid w:val="04CB4231"/>
    <w:rsid w:val="05C9101B"/>
    <w:rsid w:val="06C65D8E"/>
    <w:rsid w:val="06E9241C"/>
    <w:rsid w:val="08007A98"/>
    <w:rsid w:val="080F6B2A"/>
    <w:rsid w:val="08310C4E"/>
    <w:rsid w:val="09BE7B77"/>
    <w:rsid w:val="0A7964DD"/>
    <w:rsid w:val="0A8D3D36"/>
    <w:rsid w:val="0C1961EB"/>
    <w:rsid w:val="0C7B653C"/>
    <w:rsid w:val="0CDB347F"/>
    <w:rsid w:val="0EAA59ED"/>
    <w:rsid w:val="0EF645A0"/>
    <w:rsid w:val="0F975694"/>
    <w:rsid w:val="0FD06B9F"/>
    <w:rsid w:val="10466E61"/>
    <w:rsid w:val="10A1053B"/>
    <w:rsid w:val="10D206F5"/>
    <w:rsid w:val="14220D20"/>
    <w:rsid w:val="16351E52"/>
    <w:rsid w:val="17485BB5"/>
    <w:rsid w:val="1983536B"/>
    <w:rsid w:val="1A3A1943"/>
    <w:rsid w:val="1A642D06"/>
    <w:rsid w:val="1ADA4D76"/>
    <w:rsid w:val="1AF57E02"/>
    <w:rsid w:val="1B9A62B3"/>
    <w:rsid w:val="1CE00C0F"/>
    <w:rsid w:val="1D350989"/>
    <w:rsid w:val="1DA376A1"/>
    <w:rsid w:val="1DC85809"/>
    <w:rsid w:val="1EB01FC6"/>
    <w:rsid w:val="1F737547"/>
    <w:rsid w:val="203E244F"/>
    <w:rsid w:val="20A26336"/>
    <w:rsid w:val="213276BA"/>
    <w:rsid w:val="21B04A82"/>
    <w:rsid w:val="21ED14A0"/>
    <w:rsid w:val="22B70472"/>
    <w:rsid w:val="22C955F0"/>
    <w:rsid w:val="22F62969"/>
    <w:rsid w:val="24207BBA"/>
    <w:rsid w:val="242F7950"/>
    <w:rsid w:val="25705146"/>
    <w:rsid w:val="25890A5E"/>
    <w:rsid w:val="27455508"/>
    <w:rsid w:val="2819196F"/>
    <w:rsid w:val="28233866"/>
    <w:rsid w:val="289C003F"/>
    <w:rsid w:val="28E8562B"/>
    <w:rsid w:val="290F208E"/>
    <w:rsid w:val="2A7A3E7F"/>
    <w:rsid w:val="2AE80DE9"/>
    <w:rsid w:val="2C640943"/>
    <w:rsid w:val="2C8E15AB"/>
    <w:rsid w:val="2CCB2770"/>
    <w:rsid w:val="2D1373FB"/>
    <w:rsid w:val="2F0E4231"/>
    <w:rsid w:val="302A44BC"/>
    <w:rsid w:val="306330DB"/>
    <w:rsid w:val="31B00187"/>
    <w:rsid w:val="320B3B8C"/>
    <w:rsid w:val="32B617CD"/>
    <w:rsid w:val="34675474"/>
    <w:rsid w:val="35325E21"/>
    <w:rsid w:val="35441312"/>
    <w:rsid w:val="35E812DF"/>
    <w:rsid w:val="37671886"/>
    <w:rsid w:val="383C2774"/>
    <w:rsid w:val="38DD4C80"/>
    <w:rsid w:val="394C6B2C"/>
    <w:rsid w:val="3A72456B"/>
    <w:rsid w:val="3A8B353F"/>
    <w:rsid w:val="3B651FE2"/>
    <w:rsid w:val="3DAD49D1"/>
    <w:rsid w:val="3E18029E"/>
    <w:rsid w:val="3E557AF2"/>
    <w:rsid w:val="3F4E170B"/>
    <w:rsid w:val="3FD339BE"/>
    <w:rsid w:val="41140732"/>
    <w:rsid w:val="414A7CB0"/>
    <w:rsid w:val="41EF130C"/>
    <w:rsid w:val="421D7172"/>
    <w:rsid w:val="42DA2143"/>
    <w:rsid w:val="432C22FD"/>
    <w:rsid w:val="433E6DFC"/>
    <w:rsid w:val="44BF6C07"/>
    <w:rsid w:val="457D684B"/>
    <w:rsid w:val="477C493B"/>
    <w:rsid w:val="48F40A14"/>
    <w:rsid w:val="491D5CAA"/>
    <w:rsid w:val="499E6DEB"/>
    <w:rsid w:val="4A0574D3"/>
    <w:rsid w:val="4ABB577A"/>
    <w:rsid w:val="4B396FAF"/>
    <w:rsid w:val="4B6A5631"/>
    <w:rsid w:val="4C0F2222"/>
    <w:rsid w:val="4CF3744D"/>
    <w:rsid w:val="4D7560B4"/>
    <w:rsid w:val="4D8C1F76"/>
    <w:rsid w:val="4E031912"/>
    <w:rsid w:val="4E45647E"/>
    <w:rsid w:val="4F6C10C4"/>
    <w:rsid w:val="50E8661E"/>
    <w:rsid w:val="51BB2504"/>
    <w:rsid w:val="52285B72"/>
    <w:rsid w:val="532E7431"/>
    <w:rsid w:val="53486019"/>
    <w:rsid w:val="53542607"/>
    <w:rsid w:val="54121801"/>
    <w:rsid w:val="55C73B6D"/>
    <w:rsid w:val="591A79FA"/>
    <w:rsid w:val="59C4650C"/>
    <w:rsid w:val="5A910A1C"/>
    <w:rsid w:val="5AB32912"/>
    <w:rsid w:val="5CAE44D5"/>
    <w:rsid w:val="5D64396C"/>
    <w:rsid w:val="5DC34C1A"/>
    <w:rsid w:val="5DE53374"/>
    <w:rsid w:val="5E710B1A"/>
    <w:rsid w:val="5EA66A16"/>
    <w:rsid w:val="639A01CB"/>
    <w:rsid w:val="64B452BD"/>
    <w:rsid w:val="65A46AEC"/>
    <w:rsid w:val="66243D25"/>
    <w:rsid w:val="668C4743"/>
    <w:rsid w:val="66C50BCD"/>
    <w:rsid w:val="66F609A2"/>
    <w:rsid w:val="67340937"/>
    <w:rsid w:val="69232A11"/>
    <w:rsid w:val="6A2C3B47"/>
    <w:rsid w:val="6AC215C9"/>
    <w:rsid w:val="6D5B6C1D"/>
    <w:rsid w:val="6E9969CE"/>
    <w:rsid w:val="6EDA1DC4"/>
    <w:rsid w:val="6F696B8B"/>
    <w:rsid w:val="72084E9A"/>
    <w:rsid w:val="73092C77"/>
    <w:rsid w:val="734C7BD0"/>
    <w:rsid w:val="74373814"/>
    <w:rsid w:val="74F31E31"/>
    <w:rsid w:val="76C43A49"/>
    <w:rsid w:val="77366005"/>
    <w:rsid w:val="787B0173"/>
    <w:rsid w:val="7BB460EB"/>
    <w:rsid w:val="7C5D0FDF"/>
    <w:rsid w:val="7C9976FE"/>
    <w:rsid w:val="7D515947"/>
    <w:rsid w:val="7DAD319C"/>
    <w:rsid w:val="7F520DA2"/>
    <w:rsid w:val="7F5454EB"/>
    <w:rsid w:val="7F7939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2"/>
    <w:qFormat/>
    <w:uiPriority w:val="0"/>
    <w:pPr>
      <w:keepNext/>
      <w:jc w:val="center"/>
      <w:outlineLvl w:val="0"/>
    </w:pPr>
    <w:rPr>
      <w:rFonts w:ascii="楷体_GB2312" w:eastAsia="楷体_GB2312"/>
      <w:sz w:val="28"/>
      <w:szCs w:val="28"/>
    </w:rPr>
  </w:style>
  <w:style w:type="paragraph" w:styleId="3">
    <w:name w:val="heading 2"/>
    <w:basedOn w:val="1"/>
    <w:next w:val="1"/>
    <w:link w:val="5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link w:val="54"/>
    <w:qFormat/>
    <w:uiPriority w:val="0"/>
    <w:pPr>
      <w:keepNext/>
      <w:keepLines/>
      <w:spacing w:before="260" w:after="260" w:line="416" w:lineRule="auto"/>
      <w:outlineLvl w:val="2"/>
    </w:pPr>
    <w:rPr>
      <w:b/>
      <w:bCs/>
      <w:sz w:val="32"/>
      <w:szCs w:val="32"/>
    </w:rPr>
  </w:style>
  <w:style w:type="paragraph" w:styleId="6">
    <w:name w:val="heading 4"/>
    <w:basedOn w:val="1"/>
    <w:next w:val="5"/>
    <w:link w:val="55"/>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5"/>
    <w:link w:val="56"/>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57"/>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58"/>
    <w:qFormat/>
    <w:uiPriority w:val="0"/>
    <w:pPr>
      <w:keepNext/>
      <w:keepLines/>
      <w:spacing w:before="240" w:after="64" w:line="320" w:lineRule="auto"/>
      <w:outlineLvl w:val="6"/>
    </w:pPr>
    <w:rPr>
      <w:b/>
      <w:bCs/>
      <w:sz w:val="24"/>
      <w:szCs w:val="24"/>
    </w:rPr>
  </w:style>
  <w:style w:type="paragraph" w:styleId="10">
    <w:name w:val="heading 8"/>
    <w:basedOn w:val="1"/>
    <w:next w:val="1"/>
    <w:link w:val="59"/>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60"/>
    <w:qFormat/>
    <w:uiPriority w:val="0"/>
    <w:pPr>
      <w:keepNext/>
      <w:keepLines/>
      <w:spacing w:before="240" w:after="64" w:line="320" w:lineRule="auto"/>
      <w:outlineLvl w:val="8"/>
    </w:pPr>
    <w:rPr>
      <w:rFonts w:ascii="Arial" w:hAnsi="Arial" w:eastAsia="黑体"/>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77"/>
    <w:qFormat/>
    <w:uiPriority w:val="0"/>
    <w:pPr>
      <w:ind w:firstLine="420"/>
    </w:pPr>
  </w:style>
  <w:style w:type="paragraph" w:styleId="12">
    <w:name w:val="List 3"/>
    <w:basedOn w:val="1"/>
    <w:qFormat/>
    <w:uiPriority w:val="0"/>
    <w:pPr>
      <w:ind w:left="100" w:leftChars="400" w:hanging="200" w:hangingChars="200"/>
    </w:pPr>
  </w:style>
  <w:style w:type="paragraph" w:styleId="13">
    <w:name w:val="toc 7"/>
    <w:basedOn w:val="1"/>
    <w:next w:val="1"/>
    <w:semiHidden/>
    <w:qFormat/>
    <w:uiPriority w:val="0"/>
    <w:pPr>
      <w:ind w:left="1260"/>
      <w:jc w:val="left"/>
    </w:pPr>
  </w:style>
  <w:style w:type="paragraph" w:styleId="14">
    <w:name w:val="Document Map"/>
    <w:basedOn w:val="1"/>
    <w:link w:val="63"/>
    <w:semiHidden/>
    <w:qFormat/>
    <w:uiPriority w:val="0"/>
    <w:pPr>
      <w:shd w:val="clear" w:color="auto" w:fill="000080"/>
    </w:pPr>
  </w:style>
  <w:style w:type="paragraph" w:styleId="15">
    <w:name w:val="annotation text"/>
    <w:basedOn w:val="1"/>
    <w:link w:val="64"/>
    <w:semiHidden/>
    <w:qFormat/>
    <w:uiPriority w:val="0"/>
    <w:pPr>
      <w:jc w:val="left"/>
    </w:pPr>
  </w:style>
  <w:style w:type="paragraph" w:styleId="16">
    <w:name w:val="Body Text 3"/>
    <w:basedOn w:val="1"/>
    <w:link w:val="65"/>
    <w:qFormat/>
    <w:uiPriority w:val="0"/>
    <w:rPr>
      <w:rFonts w:ascii="仿宋_GB2312" w:hAnsi="Arial" w:eastAsia="仿宋_GB2312"/>
      <w:sz w:val="32"/>
      <w:szCs w:val="32"/>
    </w:rPr>
  </w:style>
  <w:style w:type="paragraph" w:styleId="17">
    <w:name w:val="Body Text"/>
    <w:basedOn w:val="1"/>
    <w:link w:val="61"/>
    <w:unhideWhenUsed/>
    <w:qFormat/>
    <w:uiPriority w:val="0"/>
    <w:pPr>
      <w:spacing w:after="120"/>
    </w:pPr>
  </w:style>
  <w:style w:type="paragraph" w:styleId="18">
    <w:name w:val="Body Text Indent"/>
    <w:basedOn w:val="1"/>
    <w:link w:val="66"/>
    <w:qFormat/>
    <w:uiPriority w:val="0"/>
    <w:pPr>
      <w:ind w:firstLine="645"/>
    </w:pPr>
    <w:rPr>
      <w:rFonts w:ascii="楷体_GB2312" w:eastAsia="楷体_GB2312"/>
      <w:sz w:val="32"/>
      <w:szCs w:val="32"/>
    </w:rPr>
  </w:style>
  <w:style w:type="paragraph" w:styleId="19">
    <w:name w:val="List 2"/>
    <w:basedOn w:val="1"/>
    <w:qFormat/>
    <w:uiPriority w:val="0"/>
    <w:pPr>
      <w:ind w:left="100" w:leftChars="200" w:hanging="200" w:hangingChars="200"/>
    </w:pPr>
  </w:style>
  <w:style w:type="paragraph" w:styleId="20">
    <w:name w:val="Block Text"/>
    <w:basedOn w:val="1"/>
    <w:unhideWhenUsed/>
    <w:qFormat/>
    <w:uiPriority w:val="0"/>
    <w:pPr>
      <w:spacing w:after="120"/>
      <w:ind w:left="1440" w:leftChars="700" w:right="700" w:rightChars="700"/>
    </w:pPr>
    <w:rPr>
      <w:rFonts w:hint="eastAsia"/>
    </w:r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67"/>
    <w:qFormat/>
    <w:uiPriority w:val="0"/>
    <w:rPr>
      <w:rFonts w:ascii="宋体" w:hAnsi="Courier New"/>
    </w:rPr>
  </w:style>
  <w:style w:type="paragraph" w:styleId="24">
    <w:name w:val="toc 8"/>
    <w:basedOn w:val="1"/>
    <w:next w:val="1"/>
    <w:semiHidden/>
    <w:qFormat/>
    <w:uiPriority w:val="0"/>
    <w:pPr>
      <w:ind w:left="1470"/>
      <w:jc w:val="left"/>
    </w:pPr>
  </w:style>
  <w:style w:type="paragraph" w:styleId="25">
    <w:name w:val="Date"/>
    <w:basedOn w:val="1"/>
    <w:next w:val="1"/>
    <w:link w:val="68"/>
    <w:qFormat/>
    <w:uiPriority w:val="0"/>
    <w:rPr>
      <w:sz w:val="24"/>
      <w:szCs w:val="24"/>
    </w:rPr>
  </w:style>
  <w:style w:type="paragraph" w:styleId="26">
    <w:name w:val="Body Text Indent 2"/>
    <w:basedOn w:val="1"/>
    <w:link w:val="69"/>
    <w:qFormat/>
    <w:uiPriority w:val="0"/>
    <w:pPr>
      <w:ind w:left="630" w:firstLine="645"/>
    </w:pPr>
    <w:rPr>
      <w:rFonts w:ascii="Arial" w:hAnsi="Arial" w:eastAsia="仿宋_GB2312" w:cs="Arial"/>
      <w:sz w:val="32"/>
      <w:szCs w:val="32"/>
    </w:rPr>
  </w:style>
  <w:style w:type="paragraph" w:styleId="27">
    <w:name w:val="Balloon Text"/>
    <w:basedOn w:val="1"/>
    <w:link w:val="70"/>
    <w:semiHidden/>
    <w:qFormat/>
    <w:uiPriority w:val="0"/>
    <w:rPr>
      <w:sz w:val="18"/>
      <w:szCs w:val="18"/>
    </w:rPr>
  </w:style>
  <w:style w:type="paragraph" w:styleId="28">
    <w:name w:val="footer"/>
    <w:basedOn w:val="1"/>
    <w:link w:val="71"/>
    <w:qFormat/>
    <w:uiPriority w:val="0"/>
    <w:pPr>
      <w:tabs>
        <w:tab w:val="center" w:pos="4153"/>
        <w:tab w:val="right" w:pos="8306"/>
      </w:tabs>
      <w:snapToGrid w:val="0"/>
      <w:jc w:val="left"/>
    </w:pPr>
    <w:rPr>
      <w:sz w:val="18"/>
      <w:szCs w:val="18"/>
    </w:rPr>
  </w:style>
  <w:style w:type="paragraph" w:styleId="29">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1">
    <w:name w:val="toc 4"/>
    <w:basedOn w:val="1"/>
    <w:next w:val="1"/>
    <w:semiHidden/>
    <w:qFormat/>
    <w:uiPriority w:val="0"/>
    <w:pPr>
      <w:ind w:left="630"/>
      <w:jc w:val="left"/>
    </w:pPr>
  </w:style>
  <w:style w:type="paragraph" w:styleId="32">
    <w:name w:val="List"/>
    <w:basedOn w:val="1"/>
    <w:qFormat/>
    <w:uiPriority w:val="0"/>
    <w:pPr>
      <w:ind w:left="200" w:hanging="200" w:hangingChars="200"/>
    </w:pPr>
  </w:style>
  <w:style w:type="paragraph" w:styleId="33">
    <w:name w:val="toc 6"/>
    <w:basedOn w:val="1"/>
    <w:next w:val="1"/>
    <w:semiHidden/>
    <w:qFormat/>
    <w:uiPriority w:val="0"/>
    <w:pPr>
      <w:ind w:left="1050"/>
      <w:jc w:val="left"/>
    </w:pPr>
  </w:style>
  <w:style w:type="paragraph" w:styleId="34">
    <w:name w:val="Body Text Indent 3"/>
    <w:basedOn w:val="1"/>
    <w:link w:val="73"/>
    <w:qFormat/>
    <w:uiPriority w:val="0"/>
    <w:pPr>
      <w:ind w:left="645" w:firstLine="645"/>
    </w:pPr>
    <w:rPr>
      <w:rFonts w:ascii="Arial" w:hAnsi="Arial" w:eastAsia="仿宋_GB2312" w:cs="Arial"/>
      <w:color w:val="FFFF00"/>
      <w:sz w:val="32"/>
      <w:szCs w:val="32"/>
    </w:rPr>
  </w:style>
  <w:style w:type="paragraph" w:styleId="35">
    <w:name w:val="table of figures"/>
    <w:basedOn w:val="1"/>
    <w:next w:val="1"/>
    <w:semiHidden/>
    <w:qFormat/>
    <w:uiPriority w:val="0"/>
    <w:pPr>
      <w:ind w:left="840" w:hanging="420"/>
    </w:pPr>
  </w:style>
  <w:style w:type="paragraph" w:styleId="36">
    <w:name w:val="toc 2"/>
    <w:basedOn w:val="1"/>
    <w:next w:val="1"/>
    <w:semiHidden/>
    <w:qFormat/>
    <w:uiPriority w:val="0"/>
    <w:pPr>
      <w:ind w:left="210"/>
      <w:jc w:val="left"/>
    </w:pPr>
    <w:rPr>
      <w:smallCaps/>
      <w:szCs w:val="24"/>
    </w:rPr>
  </w:style>
  <w:style w:type="paragraph" w:styleId="37">
    <w:name w:val="toc 9"/>
    <w:basedOn w:val="1"/>
    <w:next w:val="1"/>
    <w:semiHidden/>
    <w:qFormat/>
    <w:uiPriority w:val="0"/>
    <w:pPr>
      <w:ind w:left="1680"/>
      <w:jc w:val="left"/>
    </w:pPr>
  </w:style>
  <w:style w:type="paragraph" w:styleId="38">
    <w:name w:val="Body Text 2"/>
    <w:basedOn w:val="1"/>
    <w:link w:val="74"/>
    <w:qFormat/>
    <w:uiPriority w:val="0"/>
    <w:pPr>
      <w:widowControl/>
      <w:jc w:val="center"/>
    </w:pPr>
    <w:rPr>
      <w:rFonts w:ascii="楷体_GB2312" w:eastAsia="楷体_GB2312"/>
      <w:sz w:val="28"/>
      <w:szCs w:val="28"/>
    </w:rPr>
  </w:style>
  <w:style w:type="paragraph" w:styleId="39">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40">
    <w:name w:val="index 1"/>
    <w:basedOn w:val="1"/>
    <w:next w:val="1"/>
    <w:semiHidden/>
    <w:qFormat/>
    <w:uiPriority w:val="0"/>
    <w:pPr>
      <w:spacing w:line="240" w:lineRule="atLeast"/>
    </w:pPr>
    <w:rPr>
      <w:b/>
      <w:bCs/>
    </w:rPr>
  </w:style>
  <w:style w:type="paragraph" w:styleId="41">
    <w:name w:val="annotation subject"/>
    <w:basedOn w:val="15"/>
    <w:next w:val="15"/>
    <w:link w:val="75"/>
    <w:semiHidden/>
    <w:qFormat/>
    <w:uiPriority w:val="0"/>
    <w:rPr>
      <w:b/>
      <w:bCs/>
    </w:rPr>
  </w:style>
  <w:style w:type="paragraph" w:styleId="42">
    <w:name w:val="Body Text First Indent"/>
    <w:basedOn w:val="1"/>
    <w:link w:val="62"/>
    <w:qFormat/>
    <w:uiPriority w:val="0"/>
    <w:pPr>
      <w:spacing w:line="360" w:lineRule="auto"/>
      <w:ind w:firstLine="200" w:firstLineChars="200"/>
    </w:pPr>
    <w:rPr>
      <w:rFonts w:ascii="仿宋_GB2312" w:eastAsia="仿宋_GB2312"/>
      <w:sz w:val="30"/>
      <w:szCs w:val="30"/>
    </w:rPr>
  </w:style>
  <w:style w:type="paragraph" w:styleId="43">
    <w:name w:val="Body Text First Indent 2"/>
    <w:basedOn w:val="18"/>
    <w:next w:val="1"/>
    <w:link w:val="76"/>
    <w:qFormat/>
    <w:uiPriority w:val="0"/>
    <w:pPr>
      <w:spacing w:line="360" w:lineRule="auto"/>
      <w:ind w:firstLine="420" w:firstLineChars="200"/>
    </w:pPr>
    <w:rPr>
      <w:rFonts w:ascii="宋体" w:hAnsi="宋体" w:eastAsia="宋体"/>
      <w:sz w:val="21"/>
      <w:szCs w:val="20"/>
    </w:rPr>
  </w:style>
  <w:style w:type="table" w:styleId="45">
    <w:name w:val="Table Grid"/>
    <w:basedOn w:val="44"/>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Hyperlink"/>
    <w:qFormat/>
    <w:uiPriority w:val="0"/>
    <w:rPr>
      <w:color w:val="0000FF"/>
      <w:u w:val="single"/>
    </w:rPr>
  </w:style>
  <w:style w:type="character" w:styleId="51">
    <w:name w:val="annotation reference"/>
    <w:semiHidden/>
    <w:qFormat/>
    <w:uiPriority w:val="0"/>
    <w:rPr>
      <w:sz w:val="21"/>
      <w:szCs w:val="21"/>
    </w:rPr>
  </w:style>
  <w:style w:type="character" w:customStyle="1" w:styleId="52">
    <w:name w:val="标题 1 Char"/>
    <w:basedOn w:val="46"/>
    <w:link w:val="2"/>
    <w:qFormat/>
    <w:uiPriority w:val="0"/>
    <w:rPr>
      <w:rFonts w:ascii="楷体_GB2312" w:hAnsi="Times New Roman" w:eastAsia="楷体_GB2312" w:cs="Times New Roman"/>
      <w:sz w:val="28"/>
      <w:szCs w:val="28"/>
    </w:rPr>
  </w:style>
  <w:style w:type="character" w:customStyle="1" w:styleId="53">
    <w:name w:val="标题 2 Char"/>
    <w:basedOn w:val="46"/>
    <w:link w:val="3"/>
    <w:qFormat/>
    <w:uiPriority w:val="0"/>
    <w:rPr>
      <w:rFonts w:ascii="Arial" w:hAnsi="Arial" w:eastAsia="幼圆" w:cs="Arial"/>
      <w:b/>
      <w:bCs/>
      <w:sz w:val="44"/>
      <w:szCs w:val="44"/>
    </w:rPr>
  </w:style>
  <w:style w:type="character" w:customStyle="1" w:styleId="54">
    <w:name w:val="标题 3 Char"/>
    <w:basedOn w:val="46"/>
    <w:link w:val="4"/>
    <w:qFormat/>
    <w:uiPriority w:val="0"/>
    <w:rPr>
      <w:rFonts w:ascii="Times New Roman" w:hAnsi="Times New Roman" w:eastAsia="宋体" w:cs="Times New Roman"/>
      <w:b/>
      <w:bCs/>
      <w:sz w:val="32"/>
      <w:szCs w:val="32"/>
    </w:rPr>
  </w:style>
  <w:style w:type="character" w:customStyle="1" w:styleId="55">
    <w:name w:val="标题 4 Char"/>
    <w:basedOn w:val="46"/>
    <w:link w:val="6"/>
    <w:qFormat/>
    <w:uiPriority w:val="0"/>
    <w:rPr>
      <w:rFonts w:ascii="Arial" w:hAnsi="Arial" w:eastAsia="黑体" w:cs="Arial"/>
      <w:b/>
      <w:bCs/>
      <w:sz w:val="28"/>
      <w:szCs w:val="28"/>
    </w:rPr>
  </w:style>
  <w:style w:type="character" w:customStyle="1" w:styleId="56">
    <w:name w:val="标题 5 Char"/>
    <w:basedOn w:val="46"/>
    <w:link w:val="7"/>
    <w:qFormat/>
    <w:uiPriority w:val="0"/>
    <w:rPr>
      <w:rFonts w:ascii="宋体" w:hAnsi="Times New Roman" w:eastAsia="宋体" w:cs="Times New Roman"/>
      <w:color w:val="000000"/>
      <w:kern w:val="0"/>
      <w:sz w:val="28"/>
      <w:szCs w:val="28"/>
    </w:rPr>
  </w:style>
  <w:style w:type="character" w:customStyle="1" w:styleId="57">
    <w:name w:val="标题 6 Char"/>
    <w:basedOn w:val="46"/>
    <w:link w:val="8"/>
    <w:qFormat/>
    <w:uiPriority w:val="0"/>
    <w:rPr>
      <w:rFonts w:ascii="Arial" w:hAnsi="Arial" w:eastAsia="黑体" w:cs="Times New Roman"/>
      <w:b/>
      <w:bCs/>
      <w:sz w:val="24"/>
      <w:szCs w:val="24"/>
    </w:rPr>
  </w:style>
  <w:style w:type="character" w:customStyle="1" w:styleId="58">
    <w:name w:val="标题 7 Char"/>
    <w:basedOn w:val="46"/>
    <w:link w:val="9"/>
    <w:qFormat/>
    <w:uiPriority w:val="0"/>
    <w:rPr>
      <w:rFonts w:ascii="Times New Roman" w:hAnsi="Times New Roman" w:eastAsia="宋体" w:cs="Times New Roman"/>
      <w:b/>
      <w:bCs/>
      <w:sz w:val="24"/>
      <w:szCs w:val="24"/>
    </w:rPr>
  </w:style>
  <w:style w:type="character" w:customStyle="1" w:styleId="59">
    <w:name w:val="标题 8 Char"/>
    <w:basedOn w:val="46"/>
    <w:link w:val="10"/>
    <w:qFormat/>
    <w:uiPriority w:val="0"/>
    <w:rPr>
      <w:rFonts w:ascii="Arial" w:hAnsi="Arial" w:eastAsia="黑体" w:cs="Times New Roman"/>
      <w:sz w:val="24"/>
      <w:szCs w:val="24"/>
    </w:rPr>
  </w:style>
  <w:style w:type="character" w:customStyle="1" w:styleId="60">
    <w:name w:val="标题 9 Char"/>
    <w:basedOn w:val="46"/>
    <w:link w:val="11"/>
    <w:qFormat/>
    <w:uiPriority w:val="0"/>
    <w:rPr>
      <w:rFonts w:ascii="Arial" w:hAnsi="Arial" w:eastAsia="黑体" w:cs="Times New Roman"/>
      <w:szCs w:val="21"/>
    </w:rPr>
  </w:style>
  <w:style w:type="character" w:customStyle="1" w:styleId="61">
    <w:name w:val="正文文本 Char"/>
    <w:basedOn w:val="46"/>
    <w:link w:val="17"/>
    <w:semiHidden/>
    <w:qFormat/>
    <w:uiPriority w:val="99"/>
    <w:rPr>
      <w:rFonts w:ascii="Times New Roman" w:hAnsi="Times New Roman" w:eastAsia="宋体" w:cs="Times New Roman"/>
      <w:szCs w:val="21"/>
    </w:rPr>
  </w:style>
  <w:style w:type="character" w:customStyle="1" w:styleId="62">
    <w:name w:val="正文首行缩进 Char"/>
    <w:basedOn w:val="61"/>
    <w:link w:val="42"/>
    <w:qFormat/>
    <w:uiPriority w:val="0"/>
    <w:rPr>
      <w:rFonts w:ascii="仿宋_GB2312" w:eastAsia="仿宋_GB2312"/>
      <w:sz w:val="30"/>
      <w:szCs w:val="30"/>
    </w:rPr>
  </w:style>
  <w:style w:type="character" w:customStyle="1" w:styleId="63">
    <w:name w:val="文档结构图 Char"/>
    <w:basedOn w:val="46"/>
    <w:link w:val="14"/>
    <w:semiHidden/>
    <w:qFormat/>
    <w:uiPriority w:val="0"/>
    <w:rPr>
      <w:rFonts w:ascii="Times New Roman" w:hAnsi="Times New Roman" w:eastAsia="宋体" w:cs="Times New Roman"/>
      <w:szCs w:val="21"/>
      <w:shd w:val="clear" w:color="auto" w:fill="000080"/>
    </w:rPr>
  </w:style>
  <w:style w:type="character" w:customStyle="1" w:styleId="64">
    <w:name w:val="批注文字 Char"/>
    <w:basedOn w:val="46"/>
    <w:link w:val="15"/>
    <w:semiHidden/>
    <w:qFormat/>
    <w:uiPriority w:val="0"/>
    <w:rPr>
      <w:rFonts w:ascii="Times New Roman" w:hAnsi="Times New Roman" w:eastAsia="宋体" w:cs="Times New Roman"/>
      <w:szCs w:val="21"/>
    </w:rPr>
  </w:style>
  <w:style w:type="character" w:customStyle="1" w:styleId="65">
    <w:name w:val="正文文本 3 Char"/>
    <w:basedOn w:val="46"/>
    <w:link w:val="16"/>
    <w:qFormat/>
    <w:uiPriority w:val="0"/>
    <w:rPr>
      <w:rFonts w:ascii="仿宋_GB2312" w:hAnsi="Arial" w:eastAsia="仿宋_GB2312" w:cs="Times New Roman"/>
      <w:sz w:val="32"/>
      <w:szCs w:val="32"/>
    </w:rPr>
  </w:style>
  <w:style w:type="character" w:customStyle="1" w:styleId="66">
    <w:name w:val="正文文本缩进 Char"/>
    <w:basedOn w:val="46"/>
    <w:link w:val="18"/>
    <w:qFormat/>
    <w:uiPriority w:val="0"/>
    <w:rPr>
      <w:rFonts w:ascii="楷体_GB2312" w:hAnsi="Times New Roman" w:eastAsia="楷体_GB2312" w:cs="Times New Roman"/>
      <w:sz w:val="32"/>
      <w:szCs w:val="32"/>
    </w:rPr>
  </w:style>
  <w:style w:type="character" w:customStyle="1" w:styleId="67">
    <w:name w:val="纯文本 Char"/>
    <w:basedOn w:val="46"/>
    <w:link w:val="23"/>
    <w:qFormat/>
    <w:uiPriority w:val="0"/>
    <w:rPr>
      <w:rFonts w:ascii="宋体" w:hAnsi="Courier New" w:eastAsia="宋体" w:cs="Times New Roman"/>
      <w:szCs w:val="21"/>
    </w:rPr>
  </w:style>
  <w:style w:type="character" w:customStyle="1" w:styleId="68">
    <w:name w:val="日期 Char"/>
    <w:basedOn w:val="46"/>
    <w:link w:val="25"/>
    <w:qFormat/>
    <w:uiPriority w:val="0"/>
    <w:rPr>
      <w:rFonts w:ascii="Times New Roman" w:hAnsi="Times New Roman" w:eastAsia="宋体" w:cs="Times New Roman"/>
      <w:sz w:val="24"/>
      <w:szCs w:val="24"/>
    </w:rPr>
  </w:style>
  <w:style w:type="character" w:customStyle="1" w:styleId="69">
    <w:name w:val="正文文本缩进 2 Char"/>
    <w:basedOn w:val="46"/>
    <w:link w:val="26"/>
    <w:qFormat/>
    <w:uiPriority w:val="0"/>
    <w:rPr>
      <w:rFonts w:ascii="Arial" w:hAnsi="Arial" w:eastAsia="仿宋_GB2312" w:cs="Arial"/>
      <w:sz w:val="32"/>
      <w:szCs w:val="32"/>
    </w:rPr>
  </w:style>
  <w:style w:type="character" w:customStyle="1" w:styleId="70">
    <w:name w:val="批注框文本 Char"/>
    <w:basedOn w:val="46"/>
    <w:link w:val="27"/>
    <w:semiHidden/>
    <w:qFormat/>
    <w:uiPriority w:val="0"/>
    <w:rPr>
      <w:rFonts w:ascii="Times New Roman" w:hAnsi="Times New Roman" w:eastAsia="宋体" w:cs="Times New Roman"/>
      <w:sz w:val="18"/>
      <w:szCs w:val="18"/>
    </w:rPr>
  </w:style>
  <w:style w:type="character" w:customStyle="1" w:styleId="71">
    <w:name w:val="页脚 Char"/>
    <w:basedOn w:val="46"/>
    <w:link w:val="28"/>
    <w:qFormat/>
    <w:uiPriority w:val="0"/>
    <w:rPr>
      <w:rFonts w:ascii="Times New Roman" w:hAnsi="Times New Roman" w:eastAsia="宋体" w:cs="Times New Roman"/>
      <w:sz w:val="18"/>
      <w:szCs w:val="18"/>
    </w:rPr>
  </w:style>
  <w:style w:type="character" w:customStyle="1" w:styleId="72">
    <w:name w:val="页眉 Char"/>
    <w:basedOn w:val="46"/>
    <w:link w:val="29"/>
    <w:qFormat/>
    <w:uiPriority w:val="0"/>
    <w:rPr>
      <w:rFonts w:ascii="Times New Roman" w:hAnsi="Times New Roman" w:eastAsia="宋体" w:cs="Times New Roman"/>
      <w:sz w:val="18"/>
      <w:szCs w:val="18"/>
    </w:rPr>
  </w:style>
  <w:style w:type="character" w:customStyle="1" w:styleId="73">
    <w:name w:val="正文文本缩进 3 Char"/>
    <w:basedOn w:val="46"/>
    <w:link w:val="34"/>
    <w:qFormat/>
    <w:uiPriority w:val="0"/>
    <w:rPr>
      <w:rFonts w:ascii="Arial" w:hAnsi="Arial" w:eastAsia="仿宋_GB2312" w:cs="Arial"/>
      <w:color w:val="FFFF00"/>
      <w:sz w:val="32"/>
      <w:szCs w:val="32"/>
    </w:rPr>
  </w:style>
  <w:style w:type="character" w:customStyle="1" w:styleId="74">
    <w:name w:val="正文文本 2 Char"/>
    <w:basedOn w:val="46"/>
    <w:link w:val="38"/>
    <w:qFormat/>
    <w:uiPriority w:val="0"/>
    <w:rPr>
      <w:rFonts w:ascii="楷体_GB2312" w:hAnsi="Times New Roman" w:eastAsia="楷体_GB2312" w:cs="Times New Roman"/>
      <w:sz w:val="28"/>
      <w:szCs w:val="28"/>
    </w:rPr>
  </w:style>
  <w:style w:type="character" w:customStyle="1" w:styleId="75">
    <w:name w:val="批注主题 Char"/>
    <w:basedOn w:val="64"/>
    <w:link w:val="41"/>
    <w:semiHidden/>
    <w:qFormat/>
    <w:uiPriority w:val="0"/>
    <w:rPr>
      <w:b/>
      <w:bCs/>
    </w:rPr>
  </w:style>
  <w:style w:type="character" w:customStyle="1" w:styleId="76">
    <w:name w:val="正文首行缩进 2 Char"/>
    <w:basedOn w:val="66"/>
    <w:link w:val="43"/>
    <w:qFormat/>
    <w:uiPriority w:val="0"/>
    <w:rPr>
      <w:rFonts w:ascii="宋体" w:hAnsi="宋体" w:eastAsia="宋体"/>
      <w:szCs w:val="20"/>
    </w:rPr>
  </w:style>
  <w:style w:type="character" w:customStyle="1" w:styleId="77">
    <w:name w:val="正文缩进 Char"/>
    <w:link w:val="5"/>
    <w:qFormat/>
    <w:uiPriority w:val="0"/>
    <w:rPr>
      <w:rFonts w:ascii="Times New Roman" w:hAnsi="Times New Roman" w:eastAsia="宋体" w:cs="Times New Roman"/>
      <w:szCs w:val="21"/>
    </w:rPr>
  </w:style>
  <w:style w:type="paragraph" w:customStyle="1" w:styleId="78">
    <w:name w:val="Default"/>
    <w:unhideWhenUsed/>
    <w:qFormat/>
    <w:uiPriority w:val="99"/>
    <w:pPr>
      <w:widowControl w:val="0"/>
      <w:autoSpaceDE w:val="0"/>
      <w:autoSpaceDN w:val="0"/>
      <w:adjustRightInd w:val="0"/>
    </w:pPr>
    <w:rPr>
      <w:rFonts w:hint="eastAsia" w:ascii="仿宋_GB2312" w:hAnsi="仿宋_GB2312" w:eastAsia="仿宋_GB2312" w:cs="Times New Roman"/>
      <w:color w:val="000000"/>
      <w:kern w:val="0"/>
      <w:sz w:val="24"/>
      <w:szCs w:val="20"/>
      <w:lang w:val="en-US" w:eastAsia="zh-CN" w:bidi="ar-SA"/>
    </w:rPr>
  </w:style>
  <w:style w:type="character" w:customStyle="1" w:styleId="79">
    <w:name w:val="font5 Char"/>
    <w:qFormat/>
    <w:uiPriority w:val="0"/>
    <w:rPr>
      <w:rFonts w:ascii="宋体" w:hAnsi="宋体" w:eastAsia="宋体"/>
      <w:sz w:val="28"/>
      <w:szCs w:val="28"/>
      <w:lang w:val="en-US" w:eastAsia="zh-CN" w:bidi="ar-SA"/>
    </w:rPr>
  </w:style>
  <w:style w:type="character" w:customStyle="1" w:styleId="80">
    <w:name w:val="apple-converted-space"/>
    <w:qFormat/>
    <w:uiPriority w:val="99"/>
  </w:style>
  <w:style w:type="character" w:customStyle="1" w:styleId="81">
    <w:name w:val="列出段落 Char"/>
    <w:link w:val="82"/>
    <w:qFormat/>
    <w:locked/>
    <w:uiPriority w:val="0"/>
    <w:rPr>
      <w:rFonts w:ascii="Calibri" w:hAnsi="Calibri"/>
      <w:sz w:val="24"/>
      <w:szCs w:val="24"/>
      <w:lang w:eastAsia="en-US" w:bidi="en-US"/>
    </w:rPr>
  </w:style>
  <w:style w:type="paragraph" w:customStyle="1" w:styleId="82">
    <w:name w:val="列出段落1"/>
    <w:basedOn w:val="1"/>
    <w:link w:val="81"/>
    <w:qFormat/>
    <w:uiPriority w:val="0"/>
    <w:pPr>
      <w:widowControl/>
      <w:ind w:left="720"/>
      <w:contextualSpacing/>
      <w:jc w:val="left"/>
    </w:pPr>
    <w:rPr>
      <w:rFonts w:ascii="Calibri" w:hAnsi="Calibri" w:eastAsiaTheme="minorEastAsia" w:cstheme="minorBidi"/>
      <w:sz w:val="24"/>
      <w:szCs w:val="24"/>
      <w:lang w:eastAsia="en-US" w:bidi="en-US"/>
    </w:rPr>
  </w:style>
  <w:style w:type="character" w:customStyle="1" w:styleId="83">
    <w:name w:val="Char Char Char Char Char"/>
    <w:link w:val="84"/>
    <w:qFormat/>
    <w:uiPriority w:val="0"/>
    <w:rPr>
      <w:rFonts w:ascii="Tahoma" w:hAnsi="Tahoma" w:eastAsia="宋体"/>
      <w:sz w:val="24"/>
      <w:szCs w:val="24"/>
      <w:shd w:val="clear" w:color="auto" w:fill="000080"/>
    </w:rPr>
  </w:style>
  <w:style w:type="paragraph" w:customStyle="1" w:styleId="84">
    <w:name w:val="Char Char Char Char"/>
    <w:basedOn w:val="14"/>
    <w:link w:val="83"/>
    <w:qFormat/>
    <w:uiPriority w:val="0"/>
    <w:pPr>
      <w:adjustRightInd w:val="0"/>
      <w:snapToGrid w:val="0"/>
      <w:spacing w:line="360" w:lineRule="auto"/>
    </w:pPr>
    <w:rPr>
      <w:rFonts w:ascii="Tahoma" w:hAnsi="Tahoma" w:cstheme="minorBidi"/>
      <w:sz w:val="24"/>
      <w:szCs w:val="24"/>
    </w:rPr>
  </w:style>
  <w:style w:type="character" w:customStyle="1" w:styleId="85">
    <w:name w:val="普通正文 Char"/>
    <w:link w:val="86"/>
    <w:qFormat/>
    <w:uiPriority w:val="0"/>
    <w:rPr>
      <w:rFonts w:ascii="Arial" w:hAnsi="Arial"/>
      <w:sz w:val="24"/>
      <w:szCs w:val="24"/>
    </w:rPr>
  </w:style>
  <w:style w:type="paragraph" w:customStyle="1" w:styleId="86">
    <w:name w:val="普通正文"/>
    <w:basedOn w:val="1"/>
    <w:link w:val="85"/>
    <w:qFormat/>
    <w:uiPriority w:val="0"/>
    <w:pPr>
      <w:adjustRightInd w:val="0"/>
      <w:spacing w:before="120" w:after="120" w:line="360" w:lineRule="auto"/>
      <w:ind w:firstLine="480"/>
      <w:jc w:val="left"/>
      <w:textAlignment w:val="baseline"/>
    </w:pPr>
    <w:rPr>
      <w:rFonts w:ascii="Arial" w:hAnsi="Arial" w:eastAsiaTheme="minorEastAsia" w:cstheme="minorBidi"/>
      <w:sz w:val="24"/>
      <w:szCs w:val="24"/>
    </w:rPr>
  </w:style>
  <w:style w:type="character" w:customStyle="1" w:styleId="87">
    <w:name w:val="二级目录 Char"/>
    <w:link w:val="88"/>
    <w:qFormat/>
    <w:uiPriority w:val="0"/>
    <w:rPr>
      <w:b/>
      <w:sz w:val="30"/>
      <w:szCs w:val="28"/>
    </w:rPr>
  </w:style>
  <w:style w:type="paragraph" w:customStyle="1" w:styleId="88">
    <w:name w:val="二级目录"/>
    <w:next w:val="1"/>
    <w:link w:val="87"/>
    <w:qFormat/>
    <w:uiPriority w:val="0"/>
    <w:pPr>
      <w:tabs>
        <w:tab w:val="left" w:pos="907"/>
        <w:tab w:val="left" w:pos="1145"/>
      </w:tabs>
      <w:ind w:left="907" w:hanging="907"/>
      <w:outlineLvl w:val="1"/>
    </w:pPr>
    <w:rPr>
      <w:rFonts w:asciiTheme="minorHAnsi" w:hAnsiTheme="minorHAnsi" w:eastAsiaTheme="minorEastAsia" w:cstheme="minorBidi"/>
      <w:b/>
      <w:kern w:val="2"/>
      <w:sz w:val="30"/>
      <w:szCs w:val="28"/>
      <w:lang w:val="en-US" w:eastAsia="zh-CN" w:bidi="ar-SA"/>
    </w:rPr>
  </w:style>
  <w:style w:type="paragraph" w:customStyle="1" w:styleId="89">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90">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91">
    <w:name w:val="Body Text(ch)"/>
    <w:basedOn w:val="1"/>
    <w:next w:val="17"/>
    <w:qFormat/>
    <w:uiPriority w:val="0"/>
    <w:pPr>
      <w:spacing w:after="120"/>
    </w:pPr>
    <w:rPr>
      <w:rFonts w:ascii="宋体" w:hAnsi="Arial"/>
      <w:bCs/>
      <w:iCs/>
      <w:szCs w:val="24"/>
    </w:rPr>
  </w:style>
  <w:style w:type="paragraph" w:customStyle="1" w:styleId="92">
    <w:name w:val="附录1"/>
    <w:qFormat/>
    <w:uiPriority w:val="0"/>
    <w:pPr>
      <w:tabs>
        <w:tab w:val="left" w:pos="907"/>
      </w:tabs>
      <w:snapToGrid w:val="0"/>
      <w:spacing w:before="240" w:line="600" w:lineRule="atLeast"/>
      <w:ind w:left="907" w:hanging="907"/>
    </w:pPr>
    <w:rPr>
      <w:rFonts w:ascii="Times New Roman" w:hAnsi="Times New Roman" w:eastAsia="宋体" w:cs="Times New Roman"/>
      <w:b/>
      <w:i/>
      <w:kern w:val="0"/>
      <w:sz w:val="28"/>
      <w:szCs w:val="20"/>
      <w:lang w:val="en-US" w:eastAsia="zh-CN" w:bidi="ar-SA"/>
    </w:rPr>
  </w:style>
  <w:style w:type="paragraph" w:customStyle="1" w:styleId="93">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4">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95">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96">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7">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98">
    <w:name w:val="Char Char Char Char Char Char Char Char Char Char"/>
    <w:basedOn w:val="1"/>
    <w:qFormat/>
    <w:uiPriority w:val="0"/>
    <w:pPr>
      <w:adjustRightInd w:val="0"/>
      <w:spacing w:line="360" w:lineRule="auto"/>
    </w:pPr>
    <w:rPr>
      <w:kern w:val="0"/>
      <w:sz w:val="24"/>
      <w:szCs w:val="20"/>
    </w:rPr>
  </w:style>
  <w:style w:type="paragraph" w:customStyle="1" w:styleId="99">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styleId="100">
    <w:name w:val="List Paragraph"/>
    <w:basedOn w:val="1"/>
    <w:qFormat/>
    <w:uiPriority w:val="34"/>
    <w:pPr>
      <w:widowControl/>
      <w:ind w:left="720"/>
      <w:contextualSpacing/>
      <w:jc w:val="left"/>
    </w:pPr>
    <w:rPr>
      <w:rFonts w:ascii="Calibri" w:hAnsi="Calibri"/>
      <w:kern w:val="0"/>
      <w:sz w:val="24"/>
      <w:szCs w:val="24"/>
      <w:lang w:eastAsia="en-US" w:bidi="en-US"/>
    </w:rPr>
  </w:style>
  <w:style w:type="paragraph" w:customStyle="1" w:styleId="101">
    <w:name w:val="样式1"/>
    <w:basedOn w:val="1"/>
    <w:qFormat/>
    <w:uiPriority w:val="0"/>
    <w:pPr>
      <w:tabs>
        <w:tab w:val="left" w:pos="709"/>
      </w:tabs>
      <w:adjustRightInd w:val="0"/>
      <w:ind w:left="709" w:hanging="709"/>
      <w:textAlignment w:val="baseline"/>
    </w:pPr>
    <w:rPr>
      <w:rFonts w:ascii="宋体" w:hAnsi="宋体"/>
      <w:kern w:val="0"/>
    </w:rPr>
  </w:style>
  <w:style w:type="paragraph" w:customStyle="1" w:styleId="102">
    <w:name w:val="table_lines"/>
    <w:basedOn w:val="1"/>
    <w:qFormat/>
    <w:uiPriority w:val="0"/>
    <w:pPr>
      <w:widowControl/>
      <w:jc w:val="left"/>
    </w:pPr>
    <w:rPr>
      <w:kern w:val="0"/>
      <w:sz w:val="20"/>
      <w:szCs w:val="20"/>
      <w:lang w:val="de-DE" w:eastAsia="de-DE"/>
    </w:rPr>
  </w:style>
  <w:style w:type="paragraph" w:customStyle="1" w:styleId="103">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6">
    <w:name w:val="table_1stline"/>
    <w:basedOn w:val="1"/>
    <w:qFormat/>
    <w:uiPriority w:val="0"/>
    <w:pPr>
      <w:widowControl/>
      <w:spacing w:before="120"/>
      <w:jc w:val="left"/>
    </w:pPr>
    <w:rPr>
      <w:bCs/>
      <w:kern w:val="0"/>
      <w:sz w:val="20"/>
      <w:szCs w:val="20"/>
      <w:lang w:val="de-DE" w:eastAsia="de-DE"/>
    </w:rPr>
  </w:style>
  <w:style w:type="paragraph" w:customStyle="1" w:styleId="107">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4"/>
    <w:basedOn w:val="1"/>
    <w:next w:val="34"/>
    <w:qFormat/>
    <w:uiPriority w:val="99"/>
    <w:pPr>
      <w:spacing w:line="360" w:lineRule="auto"/>
      <w:ind w:firstLine="420"/>
    </w:pPr>
    <w:rPr>
      <w:color w:val="FF0000"/>
      <w:sz w:val="24"/>
      <w:szCs w:val="24"/>
    </w:rPr>
  </w:style>
  <w:style w:type="paragraph" w:customStyle="1" w:styleId="109">
    <w:name w:val="Char"/>
    <w:basedOn w:val="1"/>
    <w:qFormat/>
    <w:uiPriority w:val="0"/>
    <w:pPr>
      <w:tabs>
        <w:tab w:val="left" w:pos="360"/>
      </w:tabs>
      <w:ind w:firstLine="200" w:firstLineChars="200"/>
    </w:pPr>
    <w:rPr>
      <w:sz w:val="28"/>
      <w:szCs w:val="30"/>
    </w:rPr>
  </w:style>
  <w:style w:type="paragraph" w:customStyle="1" w:styleId="110">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11">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2">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3">
    <w:name w:val="_Style 3"/>
    <w:next w:val="34"/>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114">
    <w:name w:val="font01"/>
    <w:qFormat/>
    <w:uiPriority w:val="0"/>
    <w:rPr>
      <w:rFonts w:hint="eastAsia" w:ascii="宋体" w:hAnsi="宋体" w:eastAsia="宋体" w:cs="宋体"/>
      <w:color w:val="000000"/>
      <w:sz w:val="24"/>
      <w:szCs w:val="24"/>
      <w:u w:val="none"/>
    </w:rPr>
  </w:style>
  <w:style w:type="character" w:customStyle="1" w:styleId="115">
    <w:name w:val="font21"/>
    <w:qFormat/>
    <w:uiPriority w:val="0"/>
    <w:rPr>
      <w:rFonts w:hint="eastAsia" w:ascii="宋体" w:hAnsi="宋体" w:eastAsia="宋体" w:cs="宋体"/>
      <w:color w:val="000000"/>
      <w:sz w:val="21"/>
      <w:szCs w:val="21"/>
      <w:u w:val="none"/>
    </w:rPr>
  </w:style>
  <w:style w:type="character" w:customStyle="1" w:styleId="116">
    <w:name w:val="font11"/>
    <w:qFormat/>
    <w:uiPriority w:val="0"/>
    <w:rPr>
      <w:rFonts w:hint="eastAsia" w:ascii="宋体" w:hAnsi="宋体" w:eastAsia="宋体" w:cs="宋体"/>
      <w:color w:val="000000"/>
      <w:sz w:val="20"/>
      <w:szCs w:val="20"/>
      <w:u w:val="none"/>
    </w:rPr>
  </w:style>
  <w:style w:type="character" w:customStyle="1" w:styleId="117">
    <w:name w:val="Heading 1 Char"/>
    <w:link w:val="118"/>
    <w:qFormat/>
    <w:uiPriority w:val="9"/>
    <w:rPr>
      <w:rFonts w:ascii="Arial" w:hAnsi="Arial" w:eastAsia="Arial" w:cs="Arial"/>
      <w:sz w:val="40"/>
      <w:szCs w:val="40"/>
    </w:rPr>
  </w:style>
  <w:style w:type="paragraph" w:customStyle="1" w:styleId="118">
    <w:name w:val="标题 11"/>
    <w:basedOn w:val="1"/>
    <w:link w:val="117"/>
    <w:qFormat/>
    <w:uiPriority w:val="9"/>
    <w:pPr>
      <w:spacing w:before="39"/>
      <w:ind w:left="100"/>
      <w:jc w:val="left"/>
      <w:outlineLvl w:val="1"/>
    </w:pPr>
    <w:rPr>
      <w:rFonts w:ascii="Arial" w:hAnsi="Arial" w:eastAsia="Arial" w:cs="Arial"/>
      <w:sz w:val="40"/>
      <w:szCs w:val="40"/>
    </w:rPr>
  </w:style>
  <w:style w:type="character" w:customStyle="1" w:styleId="119">
    <w:name w:val="标题 #2_"/>
    <w:basedOn w:val="46"/>
    <w:link w:val="120"/>
    <w:qFormat/>
    <w:uiPriority w:val="0"/>
    <w:rPr>
      <w:rFonts w:ascii="MingLiU" w:hAnsi="MingLiU" w:eastAsia="MingLiU" w:cs="MingLiU"/>
      <w:sz w:val="42"/>
      <w:szCs w:val="42"/>
      <w:shd w:val="clear" w:color="auto" w:fill="FFFFFF"/>
      <w:lang w:val="zh-CN" w:bidi="zh-CN"/>
    </w:rPr>
  </w:style>
  <w:style w:type="paragraph" w:customStyle="1" w:styleId="120">
    <w:name w:val="标题 #2"/>
    <w:basedOn w:val="1"/>
    <w:link w:val="119"/>
    <w:qFormat/>
    <w:uiPriority w:val="0"/>
    <w:pPr>
      <w:shd w:val="clear" w:color="auto" w:fill="FFFFFF"/>
      <w:spacing w:after="290"/>
      <w:jc w:val="center"/>
      <w:outlineLvl w:val="1"/>
    </w:pPr>
    <w:rPr>
      <w:rFonts w:ascii="MingLiU" w:hAnsi="MingLiU" w:eastAsia="MingLiU" w:cs="MingLiU"/>
      <w:sz w:val="42"/>
      <w:szCs w:val="42"/>
      <w:lang w:val="zh-CN" w:bidi="zh-CN"/>
    </w:rPr>
  </w:style>
  <w:style w:type="character" w:customStyle="1" w:styleId="121">
    <w:name w:val="正文文本_"/>
    <w:basedOn w:val="46"/>
    <w:link w:val="122"/>
    <w:qFormat/>
    <w:uiPriority w:val="0"/>
    <w:rPr>
      <w:rFonts w:ascii="MingLiU" w:hAnsi="MingLiU" w:eastAsia="MingLiU" w:cs="MingLiU"/>
      <w:sz w:val="22"/>
      <w:shd w:val="clear" w:color="auto" w:fill="FFFFFF"/>
      <w:lang w:val="zh-CN" w:bidi="zh-CN"/>
    </w:rPr>
  </w:style>
  <w:style w:type="paragraph" w:customStyle="1" w:styleId="122">
    <w:name w:val="正文文本1"/>
    <w:basedOn w:val="1"/>
    <w:link w:val="121"/>
    <w:qFormat/>
    <w:uiPriority w:val="0"/>
    <w:pPr>
      <w:shd w:val="clear" w:color="auto" w:fill="FFFFFF"/>
      <w:spacing w:line="425" w:lineRule="auto"/>
      <w:ind w:firstLine="400"/>
      <w:jc w:val="left"/>
    </w:pPr>
    <w:rPr>
      <w:rFonts w:ascii="MingLiU" w:hAnsi="MingLiU" w:eastAsia="MingLiU" w:cs="MingLiU"/>
      <w:sz w:val="22"/>
      <w:szCs w:val="22"/>
      <w:lang w:val="zh-CN" w:bidi="zh-CN"/>
    </w:rPr>
  </w:style>
  <w:style w:type="paragraph" w:customStyle="1" w:styleId="12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124">
    <w:name w:val="普通(网站)111"/>
    <w:basedOn w:val="1"/>
    <w:qFormat/>
    <w:uiPriority w:val="0"/>
    <w:pPr>
      <w:spacing w:beforeAutospacing="1" w:afterAutospacing="1"/>
      <w:jc w:val="left"/>
    </w:pPr>
    <w:rPr>
      <w:sz w:val="24"/>
    </w:rPr>
  </w:style>
  <w:style w:type="paragraph" w:customStyle="1" w:styleId="125">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126">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cc3054b4-fae3-441b-80f8-2d07859a0f18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F9D0635</paraID>
      <start>10</start>
      <end>11</end>
      <status>unmodified</status>
      <modifiedWord/>
      <trackRevisions>false</trackRevisions>
    </reviewItem>
    <reviewItem>
      <errorID>046a95b5-7e81-4757-87f9-a0b5f159bd4b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75C4DDBE</paraID>
      <start>5</start>
      <end>6</end>
      <status>unmodified</status>
      <modifiedWord/>
      <trackRevisions>false</trackRevisions>
    </reviewItem>
    <reviewItem>
      <errorID>148d1acc-1bb6-4143-a764-808291fc1453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1EA895E8</paraID>
      <start>12</start>
      <end>13</end>
      <status>unmodified</status>
      <modifiedWord/>
      <trackRevisions>false</trackRevisions>
    </reviewItem>
    <reviewItem>
      <errorID>bf5ea070-c69e-49a1-878c-cc28c62b648d</errorID>
      <errorWord>)</errorWord>
      <group>L1_Format</group>
      <groupName>格式问题</groupName>
      <ability>L2_HalfPunc_CN</ability>
      <abilityName/>
      <candidateList>
        <item>）</item>
      </candidateList>
      <explain>文本全半角错误。</explain>
      <paraID>783CBA5B</paraID>
      <start>334</start>
      <end>335</end>
      <status>unmodified</status>
      <modifiedWord/>
      <trackRevisions>false</trackRevisions>
    </reviewItem>
    <reviewItem>
      <errorID>9e3ac219-e421-4975-b0d0-39fa44e92c9d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13E28ACA</paraID>
      <start>0</start>
      <end>3</end>
      <status>unmodified</status>
      <modifiedWord/>
      <trackRevisions>false</trackRevisions>
    </reviewItem>
    <reviewItem>
      <errorID>9b483bd7-f2fe-4f5d-8cad-0485f811e900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23079252</paraID>
      <start>1</start>
      <end>4</end>
      <status>unmodified</status>
      <modifiedWord/>
      <trackRevisions>false</trackRevisions>
    </reviewItem>
    <reviewItem>
      <errorID>cd4787f7-f868-48b1-9543-ba0dc619b576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7FFDA078</paraID>
      <start>0</start>
      <end>3</end>
      <status>unmodified</status>
      <modifiedWord/>
      <trackRevisions>false</trackRevisions>
    </reviewItem>
    <reviewItem>
      <errorID>f33f93e6-63b4-430f-8f1c-de1e7774f490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4A905FF3</paraID>
      <start>1</start>
      <end>4</end>
      <status>unmodified</status>
      <modifiedWord/>
      <trackRevisions>false</trackRevisions>
    </reviewItem>
    <reviewItem>
      <errorID>5d1dc14e-c6a7-4620-86de-3756ae9e3cdf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18318E1A</paraID>
      <start>0</start>
      <end>3</end>
      <status>unmodified</status>
      <modifiedWord/>
      <trackRevisions>false</trackRevisions>
    </reviewItem>
    <reviewItem>
      <errorID>0f5f180b-8fd1-4370-ab65-c816eedca5fe</errorID>
      <errorWord>,</errorWord>
      <group>L1_Format</group>
      <groupName>格式问题</groupName>
      <ability>L2_HalfPunc_CN</ability>
      <abilityName/>
      <candidateList>
        <item>，</item>
      </candidateList>
      <explain>文本全半角错误。</explain>
      <paraID>3F8AD08B</paraID>
      <start>19</start>
      <end>20</end>
      <status>unmodified</status>
      <modifiedWord/>
      <trackRevisions>false</trackRevisions>
    </reviewItem>
    <reviewItem>
      <errorID>2c93f9de-21ee-4240-b43c-970ac3ff359e</errorID>
      <errorWord>)</errorWord>
      <group>L1_Format</group>
      <groupName>格式问题</groupName>
      <ability>L2_HalfPunc_CN</ability>
      <abilityName/>
      <candidateList>
        <item>）</item>
      </candidateList>
      <explain>文本全半角错误。</explain>
      <paraID>3F8AD08B</paraID>
      <start>44</start>
      <end>45</end>
      <status>unmodified</status>
      <modifiedWord/>
      <trackRevisions>false</trackRevisions>
    </reviewItem>
    <reviewItem>
      <errorID>48355f98-0775-43e9-9ed6-27c1d7e47f48</errorID>
      <errorWord>（</errorWord>
      <group>L1_Punc</group>
      <groupName>标点问题</groupName>
      <ability>L2_Punc_CN</ability>
      <abilityName/>
      <candidateList/>
      <explain>同一形式括号套用。</explain>
      <paraID>5B2CC55A</paraID>
      <start>101</start>
      <end>102</end>
      <status>unmodified</status>
      <modifiedWord/>
      <trackRevisions>false</trackRevisions>
    </reviewItem>
    <reviewItem>
      <errorID>344e88c5-d9b7-4cd1-990b-dc04d83f52e7</errorID>
      <errorWord>）</errorWord>
      <group>L1_Punc</group>
      <groupName>标点问题</groupName>
      <ability>L2_Punc_CN</ability>
      <abilityName/>
      <candidateList/>
      <explain>同一形式括号套用。</explain>
      <paraID>5B2CC55A</paraID>
      <start>112</start>
      <end>113</end>
      <status>unmodified</status>
      <modifiedWord/>
      <trackRevisions>false</trackRevisions>
    </reviewItem>
    <reviewItem>
      <errorID>78bfebfa-22fb-44c9-9484-89d3986f62fa</errorID>
      <errorWord>,</errorWord>
      <group>L1_Format</group>
      <groupName>格式问题</groupName>
      <ability>L2_HalfPunc_CN</ability>
      <abilityName/>
      <candidateList>
        <item>，</item>
      </candidateList>
      <explain>文本全半角错误。</explain>
      <paraID>5B2CC55A</paraID>
      <start>140</start>
      <end>141</end>
      <status>unmodified</status>
      <modifiedWord/>
      <trackRevisions>false</trackRevisions>
    </reviewItem>
    <reviewItem>
      <errorID>99228319-e10b-4c62-bab6-53506cb78900</errorID>
      <errorWord>-</errorWord>
      <group>L1_Format</group>
      <groupName>格式问题</groupName>
      <ability>L2_HalfPunc_CN</ability>
      <abilityName/>
      <candidateList>
        <item>－</item>
      </candidateList>
      <explain>文本全半角错误。</explain>
      <paraID>48ABB030</paraID>
      <start>14</start>
      <end>15</end>
      <status>unmodified</status>
      <modifiedWord/>
      <trackRevisions>false</trackRevisions>
    </reviewItem>
    <reviewItem>
      <errorID>1bd92e16-7d97-45c4-a2bf-921e78970d13</errorID>
      <errorWord>-</errorWord>
      <group>L1_Format</group>
      <groupName>格式问题</groupName>
      <ability>L2_HalfPunc_CN</ability>
      <abilityName/>
      <candidateList>
        <item>－</item>
      </candidateList>
      <explain>文本全半角错误。</explain>
      <paraID>48ABB030</paraID>
      <start>15</start>
      <end>16</end>
      <status>unmodified</status>
      <modifiedWord/>
      <trackRevisions>false</trackRevisions>
    </reviewItem>
    <reviewItem>
      <errorID>bf6c39f6-718a-4d1e-b9e6-3da9ebb9ed5f</errorID>
      <errorWord>“.</errorWord>
      <group>L1_Punc</group>
      <groupName>标点问题</groupName>
      <ability>L2_Punc_CN</ability>
      <abilityName/>
      <candidateList>
        <item>“</item>
      </candidateList>
      <explain/>
      <paraID>48ABB030</paraID>
      <start>54</start>
      <end>56</end>
      <status>unmodified</status>
      <modifiedWord/>
      <trackRevisions>false</trackRevisions>
    </reviewItem>
    <reviewItem>
      <errorID>600be238-cdea-45fe-806e-4fca64a9094d</errorID>
      <errorWord>“.</errorWord>
      <group>L1_Punc</group>
      <groupName>标点问题</groupName>
      <ability>L2_Punc_CN</ability>
      <abilityName/>
      <candidateList>
        <item>“</item>
      </candidateList>
      <explain/>
      <paraID>48ABB030</paraID>
      <start>69</start>
      <end>71</end>
      <status>unmodified</status>
      <modifiedWord/>
      <trackRevisions>false</trackRevisions>
    </reviewItem>
    <reviewItem>
      <errorID>b1ba057d-8244-4908-b6ef-5ddd16632367</errorID>
      <errorWord>-</errorWord>
      <group>L1_Format</group>
      <groupName>格式问题</groupName>
      <ability>L2_HalfPunc_CN</ability>
      <abilityName/>
      <candidateList>
        <item>－</item>
      </candidateList>
      <explain>文本全半角错误。</explain>
      <paraID>48ABB030</paraID>
      <start>92</start>
      <end>93</end>
      <status>unmodified</status>
      <modifiedWord/>
      <trackRevisions>false</trackRevisions>
    </reviewItem>
    <reviewItem>
      <errorID>fb80cb5d-7a5d-4cbd-9425-b4c71cd416ac</errorID>
      <errorWord>-</errorWord>
      <group>L1_Format</group>
      <groupName>格式问题</groupName>
      <ability>L2_HalfPunc_CN</ability>
      <abilityName/>
      <candidateList>
        <item>－</item>
      </candidateList>
      <explain>文本全半角错误。</explain>
      <paraID>48ABB030</paraID>
      <start>93</start>
      <end>94</end>
      <status>unmodified</status>
      <modifiedWord/>
      <trackRevisions>false</trackRevisions>
    </reviewItem>
    <reviewItem>
      <errorID>9a34ee0f-66da-43f6-bcf9-d06933891371</errorID>
      <errorWord>-</errorWord>
      <group>L1_Format</group>
      <groupName>格式问题</groupName>
      <ability>L2_HalfPunc_CN</ability>
      <abilityName/>
      <candidateList>
        <item>－</item>
      </candidateList>
      <explain>文本全半角错误。</explain>
      <paraID>48ABB030</paraID>
      <start>100</start>
      <end>101</end>
      <status>unmodified</status>
      <modifiedWord/>
      <trackRevisions>false</trackRevisions>
    </reviewItem>
    <reviewItem>
      <errorID>66bdf1a0-bcaf-4df1-b3c2-b7cd09758b78</errorID>
      <errorWord>-</errorWord>
      <group>L1_Format</group>
      <groupName>格式问题</groupName>
      <ability>L2_HalfPunc_CN</ability>
      <abilityName/>
      <candidateList>
        <item>－</item>
      </candidateList>
      <explain>文本全半角错误。</explain>
      <paraID>48ABB030</paraID>
      <start>101</start>
      <end>102</end>
      <status>unmodified</status>
      <modifiedWord/>
      <trackRevisions>false</trackRevisions>
    </reviewItem>
    <reviewItem>
      <errorID>0f7f2c39-4527-49bb-8b60-fa7a11e9bb1e</errorID>
      <errorWord>-</errorWord>
      <group>L1_Format</group>
      <groupName>格式问题</groupName>
      <ability>L2_HalfPunc_CN</ability>
      <abilityName/>
      <candidateList>
        <item>－</item>
      </candidateList>
      <explain>文本全半角错误。</explain>
      <paraID>48ABB030</paraID>
      <start>170</start>
      <end>171</end>
      <status>unmodified</status>
      <modifiedWord/>
      <trackRevisions>false</trackRevisions>
    </reviewItem>
    <reviewItem>
      <errorID>840d781f-d458-4091-b29b-db53f393c22d</errorID>
      <errorWord>-</errorWord>
      <group>L1_Format</group>
      <groupName>格式问题</groupName>
      <ability>L2_HalfPunc_CN</ability>
      <abilityName/>
      <candidateList>
        <item>－</item>
      </candidateList>
      <explain>文本全半角错误。</explain>
      <paraID>63DA466A</paraID>
      <start>30</start>
      <end>31</end>
      <status>unmodified</status>
      <modifiedWord/>
      <trackRevisions>false</trackRevisions>
    </reviewItem>
    <reviewItem>
      <errorID>24435019-f690-404e-94e4-e7ed84c57274</errorID>
      <errorWord>“.</errorWord>
      <group>L1_Punc</group>
      <groupName>标点问题</groupName>
      <ability>L2_Punc_CN</ability>
      <abilityName/>
      <candidateList>
        <item>“</item>
      </candidateList>
      <explain/>
      <paraID> 8A11A3C</paraID>
      <start>12</start>
      <end>14</end>
      <status>unmodified</status>
      <modifiedWord/>
      <trackRevisions>false</trackRevisions>
    </reviewItem>
    <reviewItem>
      <errorID>6fb591bf-64fc-44b3-bf76-02a015a76c88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664347A</paraID>
      <start>38</start>
      <end>41</end>
      <status>unmodified</status>
      <modifiedWord/>
      <trackRevisions>false</trackRevisions>
    </reviewItem>
    <reviewItem>
      <errorID>d095a6fe-9d51-4eff-9ba9-6bbfdf166dc0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664347A</paraID>
      <start>48</start>
      <end>51</end>
      <status>unmodified</status>
      <modifiedWord/>
      <trackRevisions>false</trackRevisions>
    </reviewItem>
    <reviewItem>
      <errorID>b79ce2f5-0b8d-4554-846c-8904ff54abf2</errorID>
      <errorWord>(</errorWord>
      <group>L1_Format</group>
      <groupName>格式问题</groupName>
      <ability>L2_HalfPunc_CN</ability>
      <abilityName/>
      <candidateList>
        <item>（</item>
      </candidateList>
      <explain>文本全半角错误。</explain>
      <paraID>3EF3DAA6</paraID>
      <start>10</start>
      <end>11</end>
      <status>unmodified</status>
      <modifiedWord/>
      <trackRevisions>false</trackRevisions>
    </reviewItem>
    <reviewItem>
      <errorID>ce765367-1997-4a19-af66-36c80ca30171</errorID>
      <errorWord>)</errorWord>
      <group>L1_Format</group>
      <groupName>格式问题</groupName>
      <ability>L2_HalfPunc_CN</ability>
      <abilityName/>
      <candidateList>
        <item>）</item>
      </candidateList>
      <explain>文本全半角错误。</explain>
      <paraID>3EF3DAA6</paraID>
      <start>17</start>
      <end>18</end>
      <status>unmodified</status>
      <modifiedWord/>
      <trackRevisions>false</trackRevisions>
    </reviewItem>
    <reviewItem>
      <errorID>befa3fbf-59c6-4f59-8b09-1786f535dffd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369EA48C</paraID>
      <start>0</start>
      <end>2</end>
      <status>unmodified</status>
      <modifiedWord/>
      <trackRevisions>false</trackRevisions>
    </reviewItem>
    <reviewItem>
      <errorID>4597b821-6c47-496f-a98f-24f1a89153ca</errorID>
      <errorWord>签定</errorWord>
      <group>L1_Word</group>
      <groupName>字词问题</groupName>
      <ability>L2_Typo</ability>
      <abilityName>字词错误</abilityName>
      <candidateList>
        <item>签订</item>
      </candidateList>
      <explain>〈动〉订立条约或合同并签字：两国～了贸易议定书和支付协定。</explain>
      <paraID>369EA48C</paraID>
      <start>4</start>
      <end>6</end>
      <status>modified</status>
      <modifiedWord>签订</modifiedWord>
      <trackRevisions>false</trackRevisions>
    </reviewItem>
    <reviewItem>
      <errorID>ffc67b93-d726-45ae-ac9e-d8d5eb74c7c3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4B736D5D</paraID>
      <start>0</start>
      <end>2</end>
      <status>unmodified</status>
      <modifiedWord/>
      <trackRevisions>false</trackRevisions>
    </reviewItem>
    <reviewItem>
      <errorID>4f4285ca-b37a-40d9-944b-214137273e33</errorID>
      <errorWord>其它</errorWord>
      <group>L1_Word</group>
      <groupName>字词问题</groupName>
      <ability>L2_Alias</ability>
      <abilityName>也作/曾用词</abilityName>
      <candidateList>
        <item>其他</item>
      </candidateList>
      <explain>词汇[其它]为不规范表述或旧称，其规范书面表述为[其他]。</explain>
      <paraID>4B736D5D</paraID>
      <start>78</start>
      <end>80</end>
      <status>modified</status>
      <modifiedWord>其他</modifiedWord>
      <trackRevisions>false</trackRevisions>
    </reviewItem>
    <reviewItem>
      <errorID>eaa4f5bf-ed67-478d-8539-f0d66fd65474</errorID>
      <errorWord>拔付</errorWord>
      <group>L1_Word</group>
      <groupName>字词问题</groupName>
      <ability>L2_Typo</ability>
      <abilityName>字词错误</abilityName>
      <candidateList>
        <item>拨付</item>
      </candidateList>
      <explain>〈动〉调拨并发给（款项）：～经费。</explain>
      <paraID>4B736D5D</paraID>
      <start>155</start>
      <end>157</end>
      <status>modified</status>
      <modifiedWord>拨付</modifiedWord>
      <trackRevisions>false</trackRevisions>
    </reviewItem>
    <reviewItem>
      <errorID>05738c6f-c6fb-47c0-8bca-fb5ff57475b0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7CCC84F6</paraID>
      <start>0</start>
      <end>2</end>
      <status>unmodified</status>
      <modifiedWord/>
      <trackRevisions>false</trackRevisions>
    </reviewItem>
    <reviewItem>
      <errorID>227259f7-8468-4b31-ba6a-d8ff6be2bc9a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3E59468D</paraID>
      <start>0</start>
      <end>2</end>
      <status>unmodified</status>
      <modifiedWord/>
      <trackRevisions>false</trackRevisions>
    </reviewItem>
    <reviewItem>
      <errorID>59c841c1-5d47-428c-8399-d82887012f0c</errorID>
      <errorWord>其它</errorWord>
      <group>L1_Word</group>
      <groupName>字词问题</groupName>
      <ability>L2_Alias</ability>
      <abilityName>也作/曾用词</abilityName>
      <candidateList>
        <item>其他</item>
      </candidateList>
      <explain>词汇[其它]为不规范表述或旧称，其规范书面表述为[其他]。</explain>
      <paraID>3E59468D</paraID>
      <start>56</start>
      <end>58</end>
      <status>modified</status>
      <modifiedWord>其他</modifiedWord>
      <trackRevisions>false</trackRevisions>
    </reviewItem>
    <reviewItem>
      <errorID>96d4dd7e-a290-45a6-a164-3fd513561483</errorID>
      <errorWord>-</errorWord>
      <group>L1_Format</group>
      <groupName>格式问题</groupName>
      <ability>L2_HalfPunc_CN</ability>
      <abilityName/>
      <candidateList>
        <item>－</item>
      </candidateList>
      <explain>文本全半角错误。</explain>
      <paraID>3E59468D</paraID>
      <start>135</start>
      <end>136</end>
      <status>unmodified</status>
      <modifiedWord/>
      <trackRevisions>false</trackRevisions>
    </reviewItem>
    <reviewItem>
      <errorID>b9c7e947-fca2-489c-9a1b-a1efaf92bb90</errorID>
      <errorWord>。；</errorWord>
      <group>L1_Punc</group>
      <groupName>标点问题</groupName>
      <ability>L2_Punc_CN</ability>
      <abilityName/>
      <candidateList>
        <item>。</item>
      </candidateList>
      <explain/>
      <paraID>3E59468D</paraID>
      <start>141</start>
      <end>143</end>
      <status>unmodified</status>
      <modifiedWord/>
      <trackRevisions>false</trackRevisions>
    </reviewItem>
    <reviewItem>
      <errorID>f659a5c2-bc58-435b-b0fb-342e5e1f83e3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3BF95378</paraID>
      <start>0</start>
      <end>2</end>
      <status>unmodified</status>
      <modifiedWord/>
      <trackRevisions>false</trackRevisions>
    </reviewItem>
    <reviewItem>
      <errorID>b7b9f8cd-3f63-4643-8e09-9546f11a0fbe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1293D703</paraID>
      <start>0</start>
      <end>2</end>
      <status>unmodified</status>
      <modifiedWord/>
      <trackRevisions>false</trackRevisions>
    </reviewItem>
    <reviewItem>
      <errorID>04cd05d4-5e28-40ae-9241-e2efcc4b9cbe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555B3F0F</paraID>
      <start>0</start>
      <end>2</end>
      <status>unmodified</status>
      <modifiedWord/>
      <trackRevisions>false</trackRevisions>
    </reviewItem>
    <reviewItem>
      <errorID>e65c42fb-56b9-49eb-b52a-f9f7fee5d754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1BDEAD59</paraID>
      <start>0</start>
      <end>2</end>
      <status>unmodified</status>
      <modifiedWord/>
      <trackRevisions>false</trackRevisions>
    </reviewItem>
    <reviewItem>
      <errorID>f1cde7bf-a0ae-4913-af99-4cd125964667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71D9FFA6</paraID>
      <start>0</start>
      <end>2</end>
      <status>unmodified</status>
      <modifiedWord/>
      <trackRevisions>false</trackRevisions>
    </reviewItem>
    <reviewItem>
      <errorID>0b8f1cac-b1d8-4416-85e9-8d77162f3939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4451C784</paraID>
      <start>0</start>
      <end>2</end>
      <status>unmodified</status>
      <modifiedWord/>
      <trackRevisions>false</trackRevisions>
    </reviewItem>
    <reviewItem>
      <errorID>abd6328c-63b2-4c85-bd36-0eca601e10dd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1867B86D</paraID>
      <start>0</start>
      <end>2</end>
      <status>unmodified</status>
      <modifiedWord/>
      <trackRevisions>false</trackRevisions>
    </reviewItem>
    <reviewItem>
      <errorID>5c7ab223-f702-4de2-9748-3b16f1107aaa</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6E1A779B</paraID>
      <start>8</start>
      <end>9</end>
      <status>unmodified</status>
      <modifiedWord/>
      <trackRevisions>false</trackRevisions>
    </reviewItem>
    <reviewItem>
      <errorID>f57ed976-6d3e-4f7c-9bbf-e4a72b7b93ac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4845187</paraID>
      <start>0</start>
      <end>2</end>
      <status>unmodified</status>
      <modifiedWord/>
      <trackRevisions>false</trackRevisions>
    </reviewItem>
    <reviewItem>
      <errorID>54f124f8-e5de-423f-b0aa-b6a95796d25f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599CDDAA</paraID>
      <start>0</start>
      <end>2</end>
      <status>unmodified</status>
      <modifiedWord/>
      <trackRevisions>false</trackRevisions>
    </reviewItem>
    <reviewItem>
      <errorID>27bcd434-5ce5-4e20-be25-f34949656053</errorID>
      <errorWord>间</errorWord>
      <group>L1_Word</group>
      <groupName>字词问题</groupName>
      <ability>L2_Typo</ability>
      <abilityName>字词错误</abilityName>
      <candidateList>
        <item>间之</item>
      </candidateList>
      <explain/>
      <paraID>23461E81</paraID>
      <start>10</start>
      <end>11</end>
      <status>unmodified</status>
      <modifiedWord/>
      <trackRevisions>false</trackRevisions>
    </reviewItem>
    <reviewItem>
      <errorID>7ef815cc-7bde-48ae-a5c4-0ab2d109f040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2BEE3B60</paraID>
      <start>20</start>
      <end>23</end>
      <status>unmodified</status>
      <modifiedWord/>
      <trackRevisions>false</trackRevisions>
    </reviewItem>
    <reviewItem>
      <errorID>0ceac3b5-2022-4047-8fbc-50ed1a1e4e39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78B4ED7</paraID>
      <start>0</start>
      <end>3</end>
      <status>unmodified</status>
      <modifiedWord/>
      <trackRevisions>false</trackRevisions>
    </reviewItem>
    <reviewItem>
      <errorID>d7ea102a-a98c-40b9-8891-4b4c16f1d352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4F2A4294</paraID>
      <start>0</start>
      <end>3</end>
      <status>unmodified</status>
      <modifiedWord/>
      <trackRevisions>false</trackRevisions>
    </reviewItem>
    <reviewItem>
      <errorID>e321d261-e706-424e-abd5-9a0d167f6c21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12AF0F6F</paraID>
      <start>26</start>
      <end>29</end>
      <status>unmodified</status>
      <modifiedWord/>
      <trackRevisions>false</trackRevisions>
    </reviewItem>
    <reviewItem>
      <errorID>2a09d049-bc37-4cd6-86c6-87adebd9d2f7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12AF0F6F</paraID>
      <start>36</start>
      <end>39</end>
      <status>unmodified</status>
      <modifiedWord/>
      <trackRevisions>false</trackRevisions>
    </reviewItem>
    <reviewItem>
      <errorID>9784618b-d918-4897-b061-d30f91a524bb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12AF0F6F</paraID>
      <start>69</start>
      <end>72</end>
      <status>unmodified</status>
      <modifiedWord/>
      <trackRevisions>false</trackRevisions>
    </reviewItem>
    <reviewItem>
      <errorID>dd1b7fce-2afb-4484-a306-056c64185108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12AF0F6F</paraID>
      <start>79</start>
      <end>82</end>
      <status>unmodified</status>
      <modifiedWord/>
      <trackRevisions>false</trackRevisions>
    </reviewItem>
    <reviewItem>
      <errorID>b11d8965-bc91-4550-8a46-4190d4c4745e</errorID>
      <errorWord>法律、法规</errorWord>
      <group>L1_Word</group>
      <groupName>字词问题</groupName>
      <ability>L2_Typo</ability>
      <abilityName>字词错误</abilityName>
      <candidateList>
        <item>法律法规</item>
      </candidateList>
      <explain/>
      <paraID>2BE7CA30</paraID>
      <start>12</start>
      <end>17</end>
      <status>unmodified</status>
      <modifiedWord/>
      <trackRevisions>false</trackRevisions>
    </reviewItem>
    <reviewItem>
      <errorID>141d2701-e29b-46b2-89a0-e0b72bc6aa96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34D83750</paraID>
      <start>0</start>
      <end>3</end>
      <status>unmodified</status>
      <modifiedWord/>
      <trackRevisions>false</trackRevisions>
    </reviewItem>
    <reviewItem>
      <errorID>38845890-bc51-4b5f-8db7-98be6b0d67bb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A3DF76E</paraID>
      <start>11</start>
      <end>12</end>
      <status>unmodified</status>
      <modifiedWord/>
      <trackRevisions>false</trackRevisions>
    </reviewItem>
    <reviewItem>
      <errorID>11ed1815-b4ee-4e83-99ed-fe6ba9a9e946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68A5DCB1</paraID>
      <start>19</start>
      <end>20</end>
      <status>unmodified</status>
      <modifiedWord/>
      <trackRevisions>false</trackRevisions>
    </reviewItem>
    <reviewItem>
      <errorID>642cd9a4-fd3f-4bed-89f6-6653ae3a6dc7</errorID>
      <errorWord>项目的</errorWord>
      <group>L1_Word</group>
      <groupName>字词问题</groupName>
      <ability>L2_Typo</ability>
      <abilityName>字词错误</abilityName>
      <candidateList>
        <item>项目</item>
      </candidateList>
      <explain>〈名〉事物分成的门类：服务～｜体育～｜建设～。</explain>
      <paraID>68A5DCB1</paraID>
      <start>40</start>
      <end>42</end>
      <status>modified</status>
      <modifiedWord>项目</modifiedWord>
      <trackRevisions>false</trackRevisions>
    </reviewItem>
    <reviewItem>
      <errorID>6eccfb3c-7549-46b7-bec5-647100df524e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91B8281</paraID>
      <start>0</start>
      <end>3</end>
      <status>unmodified</status>
      <modifiedWord/>
      <trackRevisions>false</trackRevisions>
    </reviewItem>
    <reviewItem>
      <errorID>3f05d0c8-9b32-4c68-8d94-4ae4528bdfa8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74C35A8</paraID>
      <start>0</start>
      <end>3</end>
      <status>unmodified</status>
      <modifiedWord/>
      <trackRevisions>false</trackRevisions>
    </reviewItem>
    <reviewItem>
      <errorID>7be7cf6a-178d-4b32-95e5-7a6c5151601e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65C925E1</paraID>
      <start>0</start>
      <end>3</end>
      <status>unmodified</status>
      <modifiedWord/>
      <trackRevisions>false</trackRevisions>
    </reviewItem>
    <reviewItem>
      <errorID>ae2e3350-c4f2-4b38-b18a-4545252cac78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19556E24</paraID>
      <start>0</start>
      <end>3</end>
      <status>unmodified</status>
      <modifiedWord/>
      <trackRevisions>false</trackRevisions>
    </reviewItem>
    <reviewItem>
      <errorID>2d08592c-13c7-4b1f-aac3-7d4fc0019f6f</errorID>
      <errorWord>,</errorWord>
      <group>L1_Format</group>
      <groupName>格式问题</groupName>
      <ability>L2_HalfPunc_CN</ability>
      <abilityName/>
      <candidateList>
        <item>，</item>
      </candidateList>
      <explain>文本全半角错误。</explain>
      <paraID>27EE4BF6</paraID>
      <start>36</start>
      <end>37</end>
      <status>unmodified</status>
      <modifiedWord/>
      <trackRevisions>false</trackRevisions>
    </reviewItem>
    <reviewItem>
      <errorID>902c4d3b-c969-4d81-88b9-8c65cfc1c474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67AAE3D4</paraID>
      <start>0</start>
      <end>3</end>
      <status>unmodified</status>
      <modifiedWord/>
      <trackRevisions>false</trackRevisions>
    </reviewItem>
    <reviewItem>
      <errorID>33ff2025-0118-4bf0-9b20-5bdec0b621ce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1158D08A</paraID>
      <start>0</start>
      <end>3</end>
      <status>unmodified</status>
      <modifiedWord/>
      <trackRevisions>false</trackRevisions>
    </reviewItem>
    <reviewItem>
      <errorID>818ef0de-31b9-4f94-9915-3c807ceff38a</errorID>
      <errorWord>做无效投标</errorWord>
      <group>L1_Word</group>
      <groupName>字词问题</groupName>
      <ability>L2_Typo</ability>
      <abilityName>字词错误</abilityName>
      <candidateList>
        <item>作无效投标</item>
      </candidateList>
      <explain/>
      <paraID>4F5DD2EF</paraID>
      <start>68</start>
      <end>73</end>
      <status>modified</status>
      <modifiedWord>作无效投标</modifiedWord>
      <trackRevisions>false</trackRevisions>
    </reviewItem>
    <reviewItem>
      <errorID>24a25343-630e-4037-b3c4-5a5f64019018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2B5EDD35</paraID>
      <start>0</start>
      <end>3</end>
      <status>unmodified</status>
      <modifiedWord/>
      <trackRevisions>false</trackRevisions>
    </reviewItem>
    <reviewItem>
      <errorID>978fad14-2f8d-40f8-8f54-5fc2e8aba45d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55619DBF</paraID>
      <start>0</start>
      <end>3</end>
      <status>unmodified</status>
      <modifiedWord/>
      <trackRevisions>false</trackRevisions>
    </reviewItem>
    <reviewItem>
      <errorID>d334552f-486f-4164-8a5a-0ee61983eb86</errorID>
      <errorWord>间</errorWord>
      <group>L1_Word</group>
      <groupName>字词问题</groupName>
      <ability>L2_Typo</ability>
      <abilityName>字词错误</abilityName>
      <candidateList>
        <item>间之</item>
      </candidateList>
      <explain/>
      <paraID> ED20EB9</paraID>
      <start>10</start>
      <end>11</end>
      <status>unmodified</status>
      <modifiedWord/>
      <trackRevisions>false</trackRevisions>
    </reviewItem>
    <reviewItem>
      <errorID>3755e764-f63a-4519-aae4-f55aae47f39f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1B439DAD</paraID>
      <start>0</start>
      <end>3</end>
      <status>unmodified</status>
      <modifiedWord/>
      <trackRevisions>false</trackRevisions>
    </reviewItem>
    <reviewItem>
      <errorID>bccf99f1-55f7-4936-a2f7-57099733d6de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165A1565</paraID>
      <start>13</start>
      <end>16</end>
      <status>unmodified</status>
      <modifiedWord/>
      <trackRevisions>false</trackRevisions>
    </reviewItem>
    <reviewItem>
      <errorID>92da9ddd-9409-4a12-879c-7abdc231f08a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7B03A600</paraID>
      <start>0</start>
      <end>3</end>
      <status>unmodified</status>
      <modifiedWord/>
      <trackRevisions>false</trackRevisions>
    </reviewItem>
    <reviewItem>
      <errorID>d2db53d4-46f0-4337-9010-96c4dc2fe276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74608D30</paraID>
      <start>0</start>
      <end>3</end>
      <status>unmodified</status>
      <modifiedWord/>
      <trackRevisions>false</trackRevisions>
    </reviewItem>
    <reviewItem>
      <errorID>ef883f8b-f0f1-4861-b1c3-24fc372a3ad2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39097920</paraID>
      <start>0</start>
      <end>3</end>
      <status>unmodified</status>
      <modifiedWord/>
      <trackRevisions>false</trackRevisions>
    </reviewItem>
    <reviewItem>
      <errorID>22cebbeb-4783-4a3a-a3d0-9df4b2158e90</errorID>
      <errorWord>做出</errorWord>
      <group>L1_Word</group>
      <groupName>字词问题</groupName>
      <ability>L2_Typo</ability>
      <abilityName>字词错误</abilityName>
      <candidateList>
        <item>作出</item>
      </candidateList>
      <explain/>
      <paraID>23F26887</paraID>
      <start>28</start>
      <end>30</end>
      <status>modified</status>
      <modifiedWord>作出</modifiedWord>
      <trackRevisions>false</trackRevisions>
    </reviewItem>
    <reviewItem>
      <errorID>75928d5b-802e-47e9-a37d-f51a51163e08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5B62FA74</paraID>
      <start>0</start>
      <end>3</end>
      <status>unmodified</status>
      <modifiedWord/>
      <trackRevisions>false</trackRevisions>
    </reviewItem>
    <reviewItem>
      <errorID>49bd19c4-8e8e-4272-b110-21eb536920e6</errorID>
      <errorWord>,</errorWord>
      <group>L1_Format</group>
      <groupName>格式问题</groupName>
      <ability>L2_HalfPunc_CN</ability>
      <abilityName/>
      <candidateList>
        <item>，</item>
      </candidateList>
      <explain>文本全半角错误。</explain>
      <paraID>436A6B79</paraID>
      <start>74</start>
      <end>75</end>
      <status>unmodified</status>
      <modifiedWord/>
      <trackRevisions>false</trackRevisions>
    </reviewItem>
    <reviewItem>
      <errorID>40c4c36c-182b-469c-8214-7eeddfd7c3a6</errorID>
      <errorWord>,</errorWord>
      <group>L1_Format</group>
      <groupName>格式问题</groupName>
      <ability>L2_HalfPunc_CN</ability>
      <abilityName/>
      <candidateList>
        <item>，</item>
      </candidateList>
      <explain>文本全半角错误。</explain>
      <paraID>5CF1D246</paraID>
      <start>54</start>
      <end>55</end>
      <status>unmodified</status>
      <modifiedWord/>
      <trackRevisions>false</trackRevisions>
    </reviewItem>
    <reviewItem>
      <errorID>ec71ff59-669d-4c9e-b848-e0f2aee91eee</errorID>
      <errorWord>保持通讯畅通</errorWord>
      <group>L1_Word</group>
      <groupName>字词问题</groupName>
      <ability>L2_Typo</ability>
      <abilityName>字词错误</abilityName>
      <candidateList>
        <item>保持通信畅通</item>
      </candidateList>
      <explain/>
      <paraID> 5D8963C</paraID>
      <start>17</start>
      <end>23</end>
      <status>unmodified</status>
      <modifiedWord/>
      <trackRevisions>false</trackRevisions>
    </reviewItem>
    <reviewItem>
      <errorID>1467394d-d5ed-4a9d-b88c-1ff6621d3500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101D9627</paraID>
      <start>0</start>
      <end>3</end>
      <status>unmodified</status>
      <modifiedWord/>
      <trackRevisions>false</trackRevisions>
    </reviewItem>
    <reviewItem>
      <errorID>7793f8ce-23b5-4bb1-b3cb-17c05968af44</errorID>
      <errorWord>&lt;</errorWord>
      <group>L1_Format</group>
      <groupName>格式问题</groupName>
      <ability>L2_HalfPunc_CN</ability>
      <abilityName/>
      <candidateList>
        <item>〈</item>
      </candidateList>
      <explain>文本全半角错误。</explain>
      <paraID> FCB2863</paraID>
      <start>24</start>
      <end>25</end>
      <status>unmodified</status>
      <modifiedWord/>
      <trackRevisions>false</trackRevisions>
    </reviewItem>
    <reviewItem>
      <errorID>a9db9a09-4818-4e9b-8692-7ffd011ea596</errorID>
      <errorWord>&lt;</errorWord>
      <group>L1_Format</group>
      <groupName>格式问题</groupName>
      <ability>L2_HalfPunc_CN</ability>
      <abilityName/>
      <candidateList>
        <item>〈</item>
      </candidateList>
      <explain>文本全半角错误。</explain>
      <paraID>2E6EF827</paraID>
      <start>26</start>
      <end>27</end>
      <status>unmodified</status>
      <modifiedWord/>
      <trackRevisions>false</trackRevisions>
    </reviewItem>
    <reviewItem>
      <errorID>1b0eec65-48b0-413a-ba7b-309538fb8e0d</errorID>
      <errorWord>，</errorWord>
      <group>L1_Word</group>
      <groupName>字词问题</groupName>
      <ability>L2_Typo</ability>
      <abilityName>字词错误</abilityName>
      <candidateList>
        <item>，并</item>
      </candidateList>
      <explain/>
      <paraID>4F04EDC8</paraID>
      <start>72</start>
      <end>73</end>
      <status>unmodified</status>
      <modifiedWord/>
      <trackRevisions>false</trackRevisions>
    </reviewItem>
    <reviewItem>
      <errorID>efc780a5-72d8-4921-9342-4d3be4a7f646</errorID>
      <errorWord>法律、法规</errorWord>
      <group>L1_Word</group>
      <groupName>字词问题</groupName>
      <ability>L2_Typo</ability>
      <abilityName>字词错误</abilityName>
      <candidateList>
        <item>法律法规</item>
      </candidateList>
      <explain/>
      <paraID>4416F5A6</paraID>
      <start>10</start>
      <end>15</end>
      <status>unmodified</status>
      <modifiedWord/>
      <trackRevisions>false</trackRevisions>
    </reviewItem>
    <reviewItem>
      <errorID>cc36b4d2-4e7c-4744-ac9f-e1fd7a2a7e40</errorID>
      <errorWord>属</errorWord>
      <group>L1_Word</group>
      <groupName>字词问题</groupName>
      <ability>L2_Typo</ability>
      <abilityName>字词错误</abilityName>
      <candidateList>
        <item>属于</item>
      </candidateList>
      <explain/>
      <paraID>4416F5A6</paraID>
      <start>24</start>
      <end>25</end>
      <status>unmodified</status>
      <modifiedWord/>
      <trackRevisions>false</trackRevisions>
    </reviewItem>
    <reviewItem>
      <errorID>22cf1153-8234-49fd-a0c6-43a1a6915a44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4C480783</paraID>
      <start>0</start>
      <end>3</end>
      <status>unmodified</status>
      <modifiedWord/>
      <trackRevisions>false</trackRevisions>
    </reviewItem>
    <reviewItem>
      <errorID>24b82aaf-02b6-49bf-b862-a77447df5442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37157AFE</paraID>
      <start>20</start>
      <end>23</end>
      <status>unmodified</status>
      <modifiedWord/>
      <trackRevisions>false</trackRevisions>
    </reviewItem>
    <reviewItem>
      <errorID>4cff689d-63ac-4311-a703-647e66c54256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37157AFE</paraID>
      <start>30</start>
      <end>33</end>
      <status>unmodified</status>
      <modifiedWord/>
      <trackRevisions>false</trackRevisions>
    </reviewItem>
    <reviewItem>
      <errorID>6b5ed6b0-81b9-46e7-bc43-bff6f21fc9ff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62F613CF</paraID>
      <start>0</start>
      <end>3</end>
      <status>unmodified</status>
      <modifiedWord/>
      <trackRevisions>false</trackRevisions>
    </reviewItem>
    <reviewItem>
      <errorID>429a1c63-21f8-4ea5-bc1d-8925154c0e03</errorID>
      <errorWord>,</errorWord>
      <group>L1_Format</group>
      <groupName>格式问题</groupName>
      <ability>L2_HalfPunc_CN</ability>
      <abilityName/>
      <candidateList>
        <item>，</item>
      </candidateList>
      <explain>文本全半角错误。</explain>
      <paraID>44451EC2</paraID>
      <start>25</start>
      <end>26</end>
      <status>unmodified</status>
      <modifiedWord/>
      <trackRevisions>false</trackRevisions>
    </reviewItem>
    <reviewItem>
      <errorID>e78f7153-0908-4ce6-a968-c707d2c101b3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1B31283D</paraID>
      <start>0</start>
      <end>3</end>
      <status>unmodified</status>
      <modifiedWord/>
      <trackRevisions>false</trackRevisions>
    </reviewItem>
    <reviewItem>
      <errorID>814d94db-bcc9-45b4-9525-581f4495efb4</errorID>
      <errorWord>,</errorWord>
      <group>L1_Format</group>
      <groupName>格式问题</groupName>
      <ability>L2_HalfPunc_CN</ability>
      <abilityName/>
      <candidateList>
        <item>，</item>
      </candidateList>
      <explain>文本全半角错误。</explain>
      <paraID>34128415</paraID>
      <start>49</start>
      <end>50</end>
      <status>unmodified</status>
      <modifiedWord/>
      <trackRevisions>false</trackRevisions>
    </reviewItem>
    <reviewItem>
      <errorID>3213ab47-2c0b-4bde-8e99-1901ee89bea4</errorID>
      <errorWord>,</errorWord>
      <group>L1_Format</group>
      <groupName>格式问题</groupName>
      <ability>L2_HalfPunc_CN</ability>
      <abilityName/>
      <candidateList>
        <item>，</item>
      </candidateList>
      <explain>文本全半角错误。</explain>
      <paraID>34128415</paraID>
      <start>122</start>
      <end>123</end>
      <status>unmodified</status>
      <modifiedWord/>
      <trackRevisions>false</trackRevisions>
    </reviewItem>
    <reviewItem>
      <errorID>b4596b6f-0d28-487d-a03e-5bee6f568738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7B5D6A3A</paraID>
      <start>0</start>
      <end>3</end>
      <status>unmodified</status>
      <modifiedWord/>
      <trackRevisions>false</trackRevisions>
    </reviewItem>
    <reviewItem>
      <errorID>f745f49c-ec6e-4989-9446-cae481e42d91</errorID>
      <errorWord>&lt;</errorWord>
      <group>L1_Format</group>
      <groupName>格式问题</groupName>
      <ability>L2_HalfPunc_CN</ability>
      <abilityName/>
      <candidateList>
        <item>〈</item>
      </candidateList>
      <explain>文本全半角错误。</explain>
      <paraID>449EBF7B</paraID>
      <start>22</start>
      <end>23</end>
      <status>unmodified</status>
      <modifiedWord/>
      <trackRevisions>false</trackRevisions>
    </reviewItem>
    <reviewItem>
      <errorID>7ffb2caa-d341-488e-b044-3bc9bfcf6615</errorID>
      <errorWord>&gt;的通知》</errorWord>
      <group>L1_Punc</group>
      <groupName>标点问题</groupName>
      <ability>L2_Punc_CN</ability>
      <abilityName/>
      <candidateList>
        <item>〉的通知》</item>
      </candidateList>
      <explain/>
      <paraID>449EBF7B</paraID>
      <start>46</start>
      <end>51</end>
      <status>unmodified</status>
      <modifiedWord/>
      <trackRevisions>false</trackRevisions>
    </reviewItem>
    <reviewItem>
      <errorID>6f1bbe30-0441-48a3-a24f-ee908ac81fb8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449EBF7B</paraID>
      <start>165</start>
      <end>168</end>
      <status>unmodified</status>
      <modifiedWord/>
      <trackRevisions>false</trackRevisions>
    </reviewItem>
    <reviewItem>
      <errorID>30f74b82-3389-4cff-a261-6a57c01279dd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53527F7D</paraID>
      <start>150</start>
      <end>153</end>
      <status>unmodified</status>
      <modifiedWord/>
      <trackRevisions>false</trackRevisions>
    </reviewItem>
    <reviewItem>
      <errorID>99f5f39b-3f0a-40e3-b9e0-b751dac06c71</errorID>
      <errorWord>(</errorWord>
      <group>L1_Format</group>
      <groupName>格式问题</groupName>
      <ability>L2_HalfPunc_CN</ability>
      <abilityName/>
      <candidateList>
        <item>（</item>
      </candidateList>
      <explain>文本全半角错误。</explain>
      <paraID>7C74996C</paraID>
      <start>124</start>
      <end>125</end>
      <status>unmodified</status>
      <modifiedWord/>
      <trackRevisions>false</trackRevisions>
    </reviewItem>
    <reviewItem>
      <errorID>a997ab82-22ee-4c3d-979d-49c4b622af23</errorID>
      <errorWord>)</errorWord>
      <group>L1_Format</group>
      <groupName>格式问题</groupName>
      <ability>L2_HalfPunc_CN</ability>
      <abilityName/>
      <candidateList>
        <item>）</item>
      </candidateList>
      <explain>文本全半角错误。</explain>
      <paraID>7C74996C</paraID>
      <start>162</start>
      <end>163</end>
      <status>unmodified</status>
      <modifiedWord/>
      <trackRevisions>false</trackRevisions>
    </reviewItem>
    <reviewItem>
      <errorID>36d59bce-9848-4954-b30a-c572c816ed59</errorID>
      <errorWord>《</errorWord>
      <group>L1_Punc</group>
      <groupName>标点问题</groupName>
      <ability>L2_Punc_CN</ability>
      <abilityName/>
      <candidateList/>
      <explain>同一形式括号套用。</explain>
      <paraID>1A4416A9</paraID>
      <start>33</start>
      <end>34</end>
      <status>unmodified</status>
      <modifiedWord/>
      <trackRevisions>false</trackRevisions>
    </reviewItem>
    <reviewItem>
      <errorID>2e027028-51b3-4119-9001-65458c9f6aa8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1A4416A9</paraID>
      <start>50</start>
      <end>53</end>
      <status>unmodified</status>
      <modifiedWord/>
      <trackRevisions>false</trackRevisions>
    </reviewItem>
    <reviewItem>
      <errorID>d6bb6fbd-882c-46de-be5f-07242782702d</errorID>
      <errorWord>》</errorWord>
      <group>L1_Punc</group>
      <groupName>标点问题</groupName>
      <ability>L2_Punc_CN</ability>
      <abilityName/>
      <candidateList/>
      <explain>同一形式括号套用。</explain>
      <paraID>1A4416A9</paraID>
      <start>69</start>
      <end>70</end>
      <status>unmodified</status>
      <modifiedWord/>
      <trackRevisions>false</trackRevisions>
    </reviewItem>
    <reviewItem>
      <errorID>8f19b597-ffa8-4c05-a876-ac4f88df9269</errorID>
      <errorWord>,</errorWord>
      <group>L1_Format</group>
      <groupName>格式问题</groupName>
      <ability>L2_HalfPunc_CN</ability>
      <abilityName/>
      <candidateList>
        <item>，</item>
      </candidateList>
      <explain>文本全半角错误。</explain>
      <paraID>1A4416A9</paraID>
      <start>77</start>
      <end>78</end>
      <status>unmodified</status>
      <modifiedWord/>
      <trackRevisions>false</trackRevisions>
    </reviewItem>
    <reviewItem>
      <errorID>9a51f44a-ad99-480e-a60d-90fa70ab9890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39BF7E29</paraID>
      <start>5</start>
      <end>8</end>
      <status>unmodified</status>
      <modifiedWord/>
      <trackRevisions>false</trackRevisions>
    </reviewItem>
    <reviewItem>
      <errorID>ec08ec8a-85ab-479f-86b4-61656752db41</errorID>
      <errorWord>信</errorWord>
      <group>L1_Word</group>
      <groupName>字词问题</groupName>
      <ability>L2_Typo</ability>
      <abilityName>字词错误</abilityName>
      <candidateList>
        <item>信用</item>
      </candidateList>
      <explain/>
      <paraID>5831B8F5</paraID>
      <start>10</start>
      <end>11</end>
      <status>unmodified</status>
      <modifiedWord/>
      <trackRevisions>false</trackRevisions>
    </reviewItem>
    <reviewItem>
      <errorID>a0c8f182-f318-4902-8659-930044102357</errorID>
      <errorWord>&lt;</errorWord>
      <group>L1_Format</group>
      <groupName>格式问题</groupName>
      <ability>L2_HalfPunc_CN</ability>
      <abilityName/>
      <candidateList>
        <item>〈</item>
      </candidateList>
      <explain>文本全半角错误。</explain>
      <paraID>25644FA6</paraID>
      <start>57</start>
      <end>58</end>
      <status>unmodified</status>
      <modifiedWord/>
      <trackRevisions>false</trackRevisions>
    </reviewItem>
    <reviewItem>
      <errorID>3293553e-0731-46b8-babd-4556075b40ff</errorID>
      <errorWord>&gt;、</errorWord>
      <group>L1_Punc</group>
      <groupName>标点问题</groupName>
      <ability>L2_Punc_CN</ability>
      <abilityName/>
      <candidateList>
        <item>&gt;</item>
      </candidateList>
      <explain/>
      <paraID>25644FA6</paraID>
      <start>74</start>
      <end>76</end>
      <status>unmodified</status>
      <modifiedWord/>
      <trackRevisions>false</trackRevisions>
    </reviewItem>
    <reviewItem>
      <errorID>69540106-127e-4247-a30a-0c2867967ae9</errorID>
      <errorWord>&lt;</errorWord>
      <group>L1_Format</group>
      <groupName>格式问题</groupName>
      <ability>L2_HalfPunc_CN</ability>
      <abilityName/>
      <candidateList>
        <item>〈</item>
      </candidateList>
      <explain>文本全半角错误。</explain>
      <paraID>25644FA6</paraID>
      <start>76</start>
      <end>77</end>
      <status>unmodified</status>
      <modifiedWord/>
      <trackRevisions>false</trackRevisions>
    </reviewItem>
    <reviewItem>
      <errorID>d621e775-f59e-4b17-9faf-63f67c252a9e</errorID>
      <errorWord>&gt;的通知》</errorWord>
      <group>L1_Punc</group>
      <groupName>标点问题</groupName>
      <ability>L2_Punc_CN</ability>
      <abilityName/>
      <candidateList>
        <item>〉的通知》</item>
      </candidateList>
      <explain/>
      <paraID>25644FA6</paraID>
      <start>93</start>
      <end>98</end>
      <status>unmodified</status>
      <modifiedWord/>
      <trackRevisions>false</trackRevisions>
    </reviewItem>
    <reviewItem>
      <errorID>dbab9a97-47f8-40df-8b0c-28bab8bfc9b7</errorID>
      <errorWord>,</errorWord>
      <group>L1_Format</group>
      <groupName>格式问题</groupName>
      <ability>L2_HalfPunc_CN</ability>
      <abilityName/>
      <candidateList>
        <item>，</item>
      </candidateList>
      <explain>文本全半角错误。</explain>
      <paraID>168076E2</paraID>
      <start>15</start>
      <end>16</end>
      <status>unmodified</status>
      <modifiedWord/>
      <trackRevisions>false</trackRevisions>
    </reviewItem>
    <reviewItem>
      <errorID>15943899-f80e-46e9-8fd4-07181dc15a6b</errorID>
      <errorWord>,</errorWord>
      <group>L1_Format</group>
      <groupName>格式问题</groupName>
      <ability>L2_HalfPunc_CN</ability>
      <abilityName/>
      <candidateList>
        <item>，</item>
      </candidateList>
      <explain>文本全半角错误。</explain>
      <paraID>168076E2</paraID>
      <start>24</start>
      <end>25</end>
      <status>unmodified</status>
      <modifiedWord/>
      <trackRevisions>false</trackRevisions>
    </reviewItem>
    <reviewItem>
      <errorID>baf71ccc-b78e-4a07-8e33-cea48aedfc10</errorID>
      <errorWord>,</errorWord>
      <group>L1_Format</group>
      <groupName>格式问题</groupName>
      <ability>L2_HalfPunc_CN</ability>
      <abilityName/>
      <candidateList>
        <item>，</item>
      </candidateList>
      <explain>文本全半角错误。</explain>
      <paraID>168076E2</paraID>
      <start>83</start>
      <end>84</end>
      <status>unmodified</status>
      <modifiedWord/>
      <trackRevisions>false</trackRevisions>
    </reviewItem>
    <reviewItem>
      <errorID>091abc77-4b15-405a-8bc9-3c1a7bf00889</errorID>
      <errorWord>,</errorWord>
      <group>L1_Format</group>
      <groupName>格式问题</groupName>
      <ability>L2_HalfPunc_CN</ability>
      <abilityName/>
      <candidateList>
        <item>，</item>
      </candidateList>
      <explain>文本全半角错误。</explain>
      <paraID>168076E2</paraID>
      <start>143</start>
      <end>144</end>
      <status>unmodified</status>
      <modifiedWord/>
      <trackRevisions>false</trackRevisions>
    </reviewItem>
    <reviewItem>
      <errorID>7fe26dde-88f7-4688-9943-24f618361c50</errorID>
      <errorWord>;</errorWord>
      <group>L1_Format</group>
      <groupName>格式问题</groupName>
      <ability>L2_HalfPunc_CN</ability>
      <abilityName/>
      <candidateList>
        <item>；</item>
      </candidateList>
      <explain>文本全半角错误。</explain>
      <paraID>168076E2</paraID>
      <start>152</start>
      <end>153</end>
      <status>unmodified</status>
      <modifiedWord/>
      <trackRevisions>false</trackRevisions>
    </reviewItem>
    <reviewItem>
      <errorID>b9a51677-6a9b-4620-8957-e5cb1c71d1e8</errorID>
      <errorWord>;</errorWord>
      <group>L1_Format</group>
      <groupName>格式问题</groupName>
      <ability>L2_HalfPunc_CN</ability>
      <abilityName/>
      <candidateList>
        <item>；</item>
      </candidateList>
      <explain>文本全半角错误。</explain>
      <paraID>168076E2</paraID>
      <start>163</start>
      <end>164</end>
      <status>unmodified</status>
      <modifiedWord/>
      <trackRevisions>false</trackRevisions>
    </reviewItem>
    <reviewItem>
      <errorID>0ad63d77-6d4a-4483-944f-b28982d7267a</errorID>
      <errorWord>;</errorWord>
      <group>L1_Format</group>
      <groupName>格式问题</groupName>
      <ability>L2_HalfPunc_CN</ability>
      <abilityName/>
      <candidateList>
        <item>；</item>
      </candidateList>
      <explain>文本全半角错误。</explain>
      <paraID>168076E2</paraID>
      <start>179</start>
      <end>180</end>
      <status>unmodified</status>
      <modifiedWord/>
      <trackRevisions>false</trackRevisions>
    </reviewItem>
    <reviewItem>
      <errorID>5e3fc0e5-9119-4624-9f9a-0a385fd28974</errorID>
      <errorWord>,</errorWord>
      <group>L1_Format</group>
      <groupName>格式问题</groupName>
      <ability>L2_HalfPunc_CN</ability>
      <abilityName/>
      <candidateList>
        <item>，</item>
      </candidateList>
      <explain>文本全半角错误。</explain>
      <paraID>168076E2</paraID>
      <start>190</start>
      <end>191</end>
      <status>unmodified</status>
      <modifiedWord/>
      <trackRevisions>false</trackRevisions>
    </reviewItem>
    <reviewItem>
      <errorID>c62405c5-442f-4e21-b518-81464e93dcb2</errorID>
      <errorWord>,</errorWord>
      <group>L1_Format</group>
      <groupName>格式问题</groupName>
      <ability>L2_HalfPunc_CN</ability>
      <abilityName/>
      <candidateList>
        <item>，</item>
      </candidateList>
      <explain>文本全半角错误。</explain>
      <paraID>168076E2</paraID>
      <start>206</start>
      <end>207</end>
      <status>unmodified</status>
      <modifiedWord/>
      <trackRevisions>false</trackRevisions>
    </reviewItem>
    <reviewItem>
      <errorID>0bbb6097-d158-49f5-a1c3-bbbe9e30d582</errorID>
      <errorWord>,</errorWord>
      <group>L1_Format</group>
      <groupName>格式问题</groupName>
      <ability>L2_HalfPunc_CN</ability>
      <abilityName/>
      <candidateList>
        <item>，</item>
      </candidateList>
      <explain>文本全半角错误。</explain>
      <paraID>168076E2</paraID>
      <start>221</start>
      <end>222</end>
      <status>unmodified</status>
      <modifiedWord/>
      <trackRevisions>false</trackRevisions>
    </reviewItem>
    <reviewItem>
      <errorID>6e8c9a17-9523-4b93-b8ef-a473a99837c3</errorID>
      <errorWord>其它</errorWord>
      <group>L1_Word</group>
      <groupName>字词问题</groupName>
      <ability>L2_Alias</ability>
      <abilityName>也作/曾用词</abilityName>
      <candidateList>
        <item>其他</item>
      </candidateList>
      <explain>词汇[其它]为不规范表述或旧称，其规范书面表述为[其他]。</explain>
      <paraID>5C15FD86</paraID>
      <start>34</start>
      <end>36</end>
      <status>modified</status>
      <modifiedWord>其他</modifiedWord>
      <trackRevisions>false</trackRevisions>
    </reviewItem>
    <reviewItem>
      <errorID>b3e81f14-4b86-45d0-9010-ff00ffb93d31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54E3D8DA</paraID>
      <start>12</start>
      <end>13</end>
      <status>unmodified</status>
      <modifiedWord/>
      <trackRevisions>false</trackRevisions>
    </reviewItem>
    <reviewItem>
      <errorID>356bca14-6daf-46a4-aa3a-306f9055829f</errorID>
      <errorWord>,</errorWord>
      <group>L1_Format</group>
      <groupName>格式问题</groupName>
      <ability>L2_HalfPunc_CN</ability>
      <abilityName/>
      <candidateList>
        <item>，</item>
      </candidateList>
      <explain>文本全半角错误。</explain>
      <paraID>76B524EC</paraID>
      <start>19</start>
      <end>20</end>
      <status>unmodified</status>
      <modifiedWord/>
      <trackRevisions>false</trackRevisions>
    </reviewItem>
    <reviewItem>
      <errorID>47ea4c8d-9263-4896-b130-636ab34eac32</errorID>
      <errorWord>)</errorWord>
      <group>L1_Format</group>
      <groupName>格式问题</groupName>
      <ability>L2_HalfPunc_CN</ability>
      <abilityName/>
      <candidateList>
        <item>）</item>
      </candidateList>
      <explain>文本全半角错误。</explain>
      <paraID>71A12574</paraID>
      <start>251</start>
      <end>252</end>
      <status>unmodified</status>
      <modifiedWord/>
      <trackRevisions>false</trackRevisions>
    </reviewItem>
    <reviewItem>
      <errorID>0fd238d3-bf42-4358-99f1-b9b8a2c5854b</errorID>
      <errorWord>签定</errorWord>
      <group>L1_Word</group>
      <groupName>字词问题</groupName>
      <ability>L2_Typo</ability>
      <abilityName>字词错误</abilityName>
      <candidateList>
        <item>签订</item>
      </candidateList>
      <explain>〈动〉订立条约或合同并签字：两国～了贸易议定书和支付协定。</explain>
      <paraID>4535BA8C</paraID>
      <start>5</start>
      <end>7</end>
      <status>modified</status>
      <modifiedWord>签订</modifiedWord>
      <trackRevisions>false</trackRevisions>
    </reviewItem>
    <reviewItem>
      <errorID>ef145366-c315-4e08-9fb0-634bbe01cbf2</errorID>
      <errorWord>其它</errorWord>
      <group>L1_Word</group>
      <groupName>字词问题</groupName>
      <ability>L2_Alias</ability>
      <abilityName>也作/曾用词</abilityName>
      <candidateList>
        <item>其他</item>
      </candidateList>
      <explain>词汇[其它]为不规范表述或旧称，其规范书面表述为[其他]。</explain>
      <paraID>4B7BB521</paraID>
      <start>79</start>
      <end>81</end>
      <status>modified</status>
      <modifiedWord>其他</modifiedWord>
      <trackRevisions>false</trackRevisions>
    </reviewItem>
    <reviewItem>
      <errorID>2ea7622c-b16f-47b8-8f53-b04dbdb49216</errorID>
      <errorWord>拔付</errorWord>
      <group>L1_Word</group>
      <groupName>字词问题</groupName>
      <ability>L2_Typo</ability>
      <abilityName>字词错误</abilityName>
      <candidateList>
        <item>拨付</item>
      </candidateList>
      <explain>〈动〉调拨并发给（款项）：～经费。</explain>
      <paraID>4B7BB521</paraID>
      <start>159</start>
      <end>161</end>
      <status>modified</status>
      <modifiedWord>拨付</modifiedWord>
      <trackRevisions>false</trackRevisions>
    </reviewItem>
    <reviewItem>
      <errorID>9b5a70d4-95b9-41b3-8826-498a06cba133</errorID>
      <errorWord>其它</errorWord>
      <group>L1_Word</group>
      <groupName>字词问题</groupName>
      <ability>L2_Alias</ability>
      <abilityName>也作/曾用词</abilityName>
      <candidateList>
        <item>其他</item>
      </candidateList>
      <explain>词汇[其它]为不规范表述或旧称，其规范书面表述为[其他]。</explain>
      <paraID>274B7601</paraID>
      <start>22</start>
      <end>24</end>
      <status>modified</status>
      <modifiedWord>其他</modifiedWord>
      <trackRevisions>false</trackRevisions>
    </reviewItem>
    <reviewItem>
      <errorID>a7ffbe23-b062-4fc5-8702-fba3ac535460</errorID>
      <errorWord>服务</errorWord>
      <group>L1_Word</group>
      <groupName>字词问题</groupName>
      <ability>L2_Typo</ability>
      <abilityName>字词错误</abilityName>
      <candidateList>
        <item>服从</item>
      </candidateList>
      <explain/>
      <paraID>6409AC32</paraID>
      <start>63</start>
      <end>65</end>
      <status>modified</status>
      <modifiedWord>服从</modifiedWord>
      <trackRevisions>false</trackRevisions>
    </reviewItem>
    <reviewItem>
      <errorID>e0931465-b87d-4b59-bbe3-65495a5b4d73</errorID>
      <errorWord>负责和</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 7A257FC</paraID>
      <start>158</start>
      <end>161</end>
      <status>unmodified</status>
      <modifiedWord/>
      <trackRevisions>false</trackRevisions>
    </reviewItem>
    <reviewItem>
      <errorID>c6e1367d-2450-4bfc-baff-b284d61a370c</errorID>
      <errorWord>签定合同</errorWord>
      <group>L1_Word</group>
      <groupName>字词问题</groupName>
      <ability>L2_Typo</ability>
      <abilityName>字词错误</abilityName>
      <candidateList>
        <item>签订合同</item>
      </candidateList>
      <explain/>
      <paraID>6D0B6755</paraID>
      <start>24</start>
      <end>28</end>
      <status>modified</status>
      <modifiedWord>签订合同</modifiedWord>
      <trackRevisions>false</trackRevisions>
    </reviewItem>
    <reviewItem>
      <errorID>3a560609-69b7-4d4b-afc1-22f639032ca3</errorID>
      <errorWord>人</errorWord>
      <group>L1_Word</group>
      <groupName>字词问题</groupName>
      <ability>L2_Typo</ability>
      <abilityName>字词错误</abilityName>
      <candidateList>
        <item>人在</item>
      </candidateList>
      <explain/>
      <paraID>54EC8F92</paraID>
      <start>58</start>
      <end>59</end>
      <status>unmodified</status>
      <modifiedWord/>
      <trackRevisions>false</trackRevisions>
    </reviewItem>
    <reviewItem>
      <errorID>724e5a99-20ee-426f-98dc-db9bd71abe57</errorID>
      <errorWord>其它</errorWord>
      <group>L1_Word</group>
      <groupName>字词问题</groupName>
      <ability>L2_Alias</ability>
      <abilityName>也作/曾用词</abilityName>
      <candidateList>
        <item>其他</item>
      </candidateList>
      <explain>词汇[其它]为不规范表述或旧称，其规范书面表述为[其他]。</explain>
      <paraID>2FE258DE</paraID>
      <start>63</start>
      <end>65</end>
      <status>modified</status>
      <modifiedWord>其他</modifiedWord>
      <trackRevisions>false</trackRevisions>
    </reviewItem>
    <reviewItem>
      <errorID>6d5c49cf-5d16-40b3-872a-b86aa455634c</errorID>
      <errorWord>-</errorWord>
      <group>L1_Format</group>
      <groupName>格式问题</groupName>
      <ability>L2_HalfPunc_CN</ability>
      <abilityName/>
      <candidateList>
        <item>－</item>
      </candidateList>
      <explain>文本全半角错误。</explain>
      <paraID>2FE258DE</paraID>
      <start>142</start>
      <end>143</end>
      <status>unmodified</status>
      <modifiedWord/>
      <trackRevisions>false</trackRevisions>
    </reviewItem>
    <reviewItem>
      <errorID>94a78123-417d-46f6-8eaa-6008c064b1ac</errorID>
      <errorWord>人</errorWord>
      <group>L1_Word</group>
      <groupName>字词问题</groupName>
      <ability>L2_Typo</ability>
      <abilityName>字词错误</abilityName>
      <candidateList>
        <item>人在</item>
      </candidateList>
      <explain/>
      <paraID>17510BAE</paraID>
      <start>8</start>
      <end>9</end>
      <status>unmodified</status>
      <modifiedWord/>
      <trackRevisions>false</trackRevisions>
    </reviewItem>
    <reviewItem>
      <errorID>4c006ac5-7dc9-43ed-bd38-c1a3c6e16df6</errorID>
      <errorWord>其它</errorWord>
      <group>L1_Word</group>
      <groupName>字词问题</groupName>
      <ability>L2_Alias</ability>
      <abilityName>也作/曾用词</abilityName>
      <candidateList>
        <item>其他</item>
      </candidateList>
      <explain>词汇[其它]为不规范表述或旧称，其规范书面表述为[其他]。</explain>
      <paraID> 555AEE6</paraID>
      <start>63</start>
      <end>65</end>
      <status>modified</status>
      <modifiedWord>其他</modifiedWord>
      <trackRevisions>false</trackRevisions>
    </reviewItem>
    <reviewItem>
      <errorID>8b1ceba0-2743-4b6e-8a35-9bea3b0df09a</errorID>
      <errorWord>其它</errorWord>
      <group>L1_Word</group>
      <groupName>字词问题</groupName>
      <ability>L2_Alias</ability>
      <abilityName>也作/曾用词</abilityName>
      <candidateList>
        <item>其他</item>
      </candidateList>
      <explain>词汇[其它]为不规范表述或旧称，其规范书面表述为[其他]。</explain>
      <paraID>13A66A64</paraID>
      <start>60</start>
      <end>62</end>
      <status>modified</status>
      <modifiedWord>其他</modifiedWord>
      <trackRevisions>false</trackRevisions>
    </reviewItem>
    <reviewItem>
      <errorID>1fbf667c-1a98-4e50-aaa1-cde4f36ed8ec</errorID>
      <errorWord>-</errorWord>
      <group>L1_Format</group>
      <groupName>格式问题</groupName>
      <ability>L2_HalfPunc_CN</ability>
      <abilityName/>
      <candidateList>
        <item>－</item>
      </candidateList>
      <explain>文本全半角错误。</explain>
      <paraID>13A66A64</paraID>
      <start>139</start>
      <end>140</end>
      <status>unmodified</status>
      <modifiedWord/>
      <trackRevisions>false</trackRevisions>
    </reviewItem>
    <reviewItem>
      <errorID>b4cf11e8-0d4e-4a93-96d5-b5e39609b2b8</errorID>
      <errorWord>。；</errorWord>
      <group>L1_Punc</group>
      <groupName>标点问题</groupName>
      <ability>L2_Punc_CN</ability>
      <abilityName/>
      <candidateList>
        <item>。</item>
      </candidateList>
      <explain/>
      <paraID>13A66A64</paraID>
      <start>145</start>
      <end>147</end>
      <status>unmodified</status>
      <modifiedWord/>
      <trackRevisions>false</trackRevisions>
    </reviewItem>
    <reviewItem>
      <errorID>94ad6b06-c30e-4c39-a8e6-f18c31269d22</errorID>
      <errorWord>七、其它约定</errorWord>
      <group>L1_Word</group>
      <groupName>字词问题</groupName>
      <ability>L2_Alias</ability>
      <abilityName>也作/曾用词</abilityName>
      <candidateList>
        <item>七、其他约定</item>
      </candidateList>
      <explain>词汇[七、其它约定]为不规范表述或旧称，其规范书面表述为[七、其他约定]。</explain>
      <paraID>2E1BD073</paraID>
      <start>0</start>
      <end>6</end>
      <status>modified</status>
      <modifiedWord>七、其他约定</modifiedWord>
      <trackRevisions>false</trackRevisions>
    </reviewItem>
    <reviewItem>
      <errorID>1d3c8b75-4b65-48c2-b986-439f6cf36b28</errorID>
      <errorWord>,</errorWord>
      <group>L1_Format</group>
      <groupName>格式问题</groupName>
      <ability>L2_HalfPunc_CN</ability>
      <abilityName/>
      <candidateList>
        <item>，</item>
      </candidateList>
      <explain>文本全半角错误。</explain>
      <paraID>50D775EF</paraID>
      <start>52</start>
      <end>53</end>
      <status>unmodified</status>
      <modifiedWord/>
      <trackRevisions>false</trackRevisions>
    </reviewItem>
    <reviewItem>
      <errorID>04e333a0-ae8a-40fd-9027-8802736cffd2</errorID>
      <errorWord>,</errorWord>
      <group>L1_Format</group>
      <groupName>格式问题</groupName>
      <ability>L2_HalfPunc_CN</ability>
      <abilityName/>
      <candidateList>
        <item>，</item>
      </candidateList>
      <explain>文本全半角错误。</explain>
      <paraID>3EE87150</paraID>
      <start>50</start>
      <end>51</end>
      <status>unmodified</status>
      <modifiedWord/>
      <trackRevisions>false</trackRevisions>
    </reviewItem>
    <reviewItem>
      <errorID>00e9657d-981b-4539-aad6-de220c234a88</errorID>
      <errorWord>，</errorWord>
      <group>L1_Word</group>
      <groupName>字词问题</groupName>
      <ability>L2_Typo</ability>
      <abilityName>字词错误</abilityName>
      <candidateList>
        <item>，也</item>
      </candidateList>
      <explain/>
      <paraID>2FC5257F</paraID>
      <start>21</start>
      <end>22</end>
      <status>unmodified</status>
      <modifiedWord/>
      <trackRevisions>false</trackRevisions>
    </reviewItem>
    <reviewItem>
      <errorID>99fe0189-857e-4b42-9bc7-dac19c4cce64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28DF0BA9</paraID>
      <start>21</start>
      <end>22</end>
      <status>unmodified</status>
      <modifiedWord/>
      <trackRevisions>false</trackRevisions>
    </reviewItem>
    <reviewItem>
      <errorID>9d81c26d-00e8-430d-8588-62b32c00a31c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28DF0BA9</paraID>
      <start>51</start>
      <end>52</end>
      <status>unmodified</status>
      <modifiedWord/>
      <trackRevisions>false</trackRevisions>
    </reviewItem>
    <reviewItem>
      <errorID>add038ef-ecdb-4538-aca3-6972c88e7035</errorID>
      <errorWord>;</errorWord>
      <group>L1_Format</group>
      <groupName>格式问题</groupName>
      <ability>L2_HalfPunc_CN</ability>
      <abilityName/>
      <candidateList>
        <item>；</item>
      </candidateList>
      <explain>文本全半角错误。</explain>
      <paraID> F493572</paraID>
      <start>132</start>
      <end>133</end>
      <status>unmodified</status>
      <modifiedWord/>
      <trackRevisions>false</trackRevisions>
    </reviewItem>
    <reviewItem>
      <errorID>d1c28299-c264-4259-a619-4ffdffd03648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3809580A</paraID>
      <start>0</start>
      <end>2</end>
      <status>unmodified</status>
      <modifiedWord/>
      <trackRevisions>false</trackRevisions>
    </reviewItem>
    <reviewItem>
      <errorID>a67bef5c-ae9e-4375-97d6-23d5c6214fb9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1A0DBD9D</paraID>
      <start>38</start>
      <end>41</end>
      <status>unmodified</status>
      <modifiedWord/>
      <trackRevisions>false</trackRevisions>
    </reviewItem>
    <reviewItem>
      <errorID>45d4e2db-772e-4db5-a53a-1ff19b30f33b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1A0DBD9D</paraID>
      <start>55</start>
      <end>58</end>
      <status>unmodified</status>
      <modifiedWord/>
      <trackRevisions>false</trackRevisions>
    </reviewItem>
    <reviewItem>
      <errorID>6d108e6b-e9f6-43d5-baab-03716f966201</errorID>
      <errorWord>其它</errorWord>
      <group>L1_Word</group>
      <groupName>字词问题</groupName>
      <ability>L2_Alias</ability>
      <abilityName>也作/曾用词</abilityName>
      <candidateList>
        <item>其他</item>
      </candidateList>
      <explain>词汇[其它]为不规范表述或旧称，其规范书面表述为[其他]。</explain>
      <paraID>1A0DBD9D</paraID>
      <start>129</start>
      <end>131</end>
      <status>unmodified</status>
      <modifiedWord/>
      <trackRevisions>false</trackRevisions>
    </reviewItem>
    <reviewItem>
      <errorID>8840a4af-65a6-4d04-8976-7b1d0b868f7a</errorID>
      <errorWord>详细</errorWord>
      <group>L1_Word</group>
      <groupName>字词问题</groupName>
      <ability>L2_Typo</ability>
      <abilityName>字词错误</abilityName>
      <candidateList>
        <item>详</item>
      </candidateList>
      <explain/>
      <paraID>1A0DBD9D</paraID>
      <start>140</start>
      <end>142</end>
      <status>unmodified</status>
      <modifiedWord/>
      <trackRevisions>false</trackRevisions>
    </reviewItem>
    <reviewItem>
      <errorID>83ff00ee-7b6f-40ff-a6fd-1506ec8fabf7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62A351</paraID>
      <start>38</start>
      <end>39</end>
      <status>unmodified</status>
      <modifiedWord/>
      <trackRevisions>false</trackRevisions>
    </reviewItem>
    <reviewItem>
      <errorID>6f708a61-7b19-483f-a250-bf4c14862240</errorID>
      <errorWord>宵</errorWord>
      <group>L1_Word</group>
      <groupName>字词问题</groupName>
      <ability>L2_Typo</ability>
      <abilityName>字词错误</abilityName>
      <candidateList>
        <item>宵节</item>
      </candidateList>
      <explain/>
      <paraID>75779223</paraID>
      <start>9</start>
      <end>10</end>
      <status>unmodified</status>
      <modifiedWord/>
      <trackRevisions>false</trackRevisions>
    </reviewItem>
    <reviewItem>
      <errorID>90c56d95-f8bc-4324-b5fa-bf0739d33054</errorID>
      <errorWord>负责和</errorWord>
      <group>L1_Word</group>
      <groupName>字词问题</groupName>
      <ability>L2_Typo</ability>
      <abilityName>字词错误</abilityName>
      <candidateList>
        <item>负责</item>
      </candidateList>
      <explain>❶〈动〉担负责任：～后勤工作｜这里的事由你～。❷〈形〉（工作）尽到应尽的责任；认真踏实：他对工作很～。</explain>
      <paraID>11E7595A</paraID>
      <start>156</start>
      <end>159</end>
      <status>unmodified</status>
      <modifiedWord/>
      <trackRevisions>false</trackRevisions>
    </reviewItem>
    <reviewItem>
      <errorID>5f4a5f56-8ef5-470c-9bdb-c7fd0ce2e820</errorID>
      <errorWord>签定合同</errorWord>
      <group>L1_Word</group>
      <groupName>字词问题</groupName>
      <ability>L2_Typo</ability>
      <abilityName>字词错误</abilityName>
      <candidateList>
        <item>签订合同</item>
      </candidateList>
      <explain/>
      <paraID>1BBF033F</paraID>
      <start>23</start>
      <end>27</end>
      <status>modified</status>
      <modifiedWord>签订合同</modifiedWord>
      <trackRevisions>false</trackRevisions>
    </reviewItem>
    <reviewItem>
      <errorID>234c716f-eda7-4fb9-af7c-d2659a7a8756</errorID>
      <errorWord>人</errorWord>
      <group>L1_Word</group>
      <groupName>字词问题</groupName>
      <ability>L2_Typo</ability>
      <abilityName>字词错误</abilityName>
      <candidateList>
        <item>人在</item>
      </candidateList>
      <explain/>
      <paraID>604C4F0A</paraID>
      <start>57</start>
      <end>59</end>
      <status>modified</status>
      <modifiedWord>人在</modifiedWord>
      <trackRevisions>false</trackRevisions>
    </reviewItem>
    <reviewItem>
      <errorID>68da4719-80f0-48a3-b14d-eef93c16bc9c</errorID>
      <errorWord>其它</errorWord>
      <group>L1_Word</group>
      <groupName>字词问题</groupName>
      <ability>L2_Alias</ability>
      <abilityName>也作/曾用词</abilityName>
      <candidateList>
        <item>其他</item>
      </candidateList>
      <explain>词汇[其它]为不规范表述或旧称，其规范书面表述为[其他]。</explain>
      <paraID>4370BB8E</paraID>
      <start>61</start>
      <end>63</end>
      <status>modified</status>
      <modifiedWord>其他</modifiedWord>
      <trackRevisions>false</trackRevisions>
    </reviewItem>
    <reviewItem>
      <errorID>4dc03ba8-5011-4ed6-9f57-6fe558259e6f</errorID>
      <errorWord>-</errorWord>
      <group>L1_Format</group>
      <groupName>格式问题</groupName>
      <ability>L2_HalfPunc_CN</ability>
      <abilityName/>
      <candidateList>
        <item>－</item>
      </candidateList>
      <explain>文本全半角错误。</explain>
      <paraID>4370BB8E</paraID>
      <start>140</start>
      <end>141</end>
      <status>unmodified</status>
      <modifiedWord/>
      <trackRevisions>false</trackRevisions>
    </reviewItem>
    <reviewItem>
      <errorID>746f8a65-94e8-41f3-8c2f-277bb74aec07</errorID>
      <errorWord>人</errorWord>
      <group>L1_Word</group>
      <groupName>字词问题</groupName>
      <ability>L2_Typo</ability>
      <abilityName>字词错误</abilityName>
      <candidateList>
        <item>人在</item>
      </candidateList>
      <explain/>
      <paraID>7C9757F3</paraID>
      <start>6</start>
      <end>8</end>
      <status>modified</status>
      <modifiedWord>人在</modifiedWord>
      <trackRevisions>false</trackRevisions>
    </reviewItem>
    <reviewItem>
      <errorID>5874bd95-969c-4813-825b-4aee00806c4d</errorID>
      <errorWord>理</errorWord>
      <group>L1_Word</group>
      <groupName>字词问题</groupName>
      <ability>L2_Typo</ability>
      <abilityName>字词错误</abilityName>
      <candidateList>
        <item>理和</item>
      </candidateList>
      <explain/>
      <paraID>6C6DB390</paraID>
      <start>8</start>
      <end>10</end>
      <status>modified</status>
      <modifiedWord>理和</modifiedWord>
      <trackRevisions>false</trackRevisions>
    </reviewItem>
    <reviewItem>
      <errorID>25e8b385-04ed-463f-83c1-fd0dcfd70fe9</errorID>
      <errorWord>不</errorWord>
      <group>L1_Word</group>
      <groupName>字词问题</groupName>
      <ability>L2_Typo</ability>
      <abilityName>字词错误</abilityName>
      <candidateList>
        <item>不符</item>
      </candidateList>
      <explain/>
      <paraID>5855CCA1</paraID>
      <start>30</start>
      <end>32</end>
      <status>modified</status>
      <modifiedWord>不符</modifiedWord>
      <trackRevisions>false</trackRevisions>
    </reviewItem>
    <reviewItem>
      <errorID>15905bd3-63e9-47cd-9c13-871be1e47c8b</errorID>
      <errorWord>并</errorWord>
      <group>L1_Word</group>
      <groupName>字词问题</groupName>
      <ability>L2_Typo</ability>
      <abilityName>字词错误</abilityName>
      <candidateList>
        <item>并对</item>
      </candidateList>
      <explain/>
      <paraID>76906B36</paraID>
      <start>15</start>
      <end>17</end>
      <status>modified</status>
      <modifiedWord>并对</modifiedWord>
      <trackRevisions>false</trackRevisions>
    </reviewItem>
    <reviewItem>
      <errorID>feaddc7d-0dcd-4173-a411-d93f36ce73de</errorID>
      <errorWord>其它</errorWord>
      <group>L1_Word</group>
      <groupName>字词问题</groupName>
      <ability>L2_Alias</ability>
      <abilityName>也作/曾用词</abilityName>
      <candidateList>
        <item>其他</item>
      </candidateList>
      <explain>词汇[其它]为不规范表述或旧称，其规范书面表述为[其他]。</explain>
      <paraID>67EF5026</paraID>
      <start>52</start>
      <end>54</end>
      <status>modified</status>
      <modifiedWord>其他</modifiedWord>
      <trackRevisions>false</trackRevisions>
    </reviewItem>
    <reviewItem>
      <errorID>29be1fe0-6d17-466b-8d00-b9ea7d286552</errorID>
      <errorWord>-</errorWord>
      <group>L1_Format</group>
      <groupName>格式问题</groupName>
      <ability>L2_HalfPunc_CN</ability>
      <abilityName/>
      <candidateList>
        <item>－</item>
      </candidateList>
      <explain>文本全半角错误。</explain>
      <paraID>67EF5026</paraID>
      <start>131</start>
      <end>132</end>
      <status>unmodified</status>
      <modifiedWord/>
      <trackRevisions>false</trackRevisions>
    </reviewItem>
    <reviewItem>
      <errorID>7c01b99a-f012-49c2-9e9a-313f02409bb5</errorID>
      <errorWord>[2011]300号</errorWord>
      <group>L1_Knowledge</group>
      <groupName>知识性问题</groupName>
      <ability>L2_Knowledge</ability>
      <abilityName>其他知识</abilityName>
      <candidateList>
        <item>〔2011〕300号</item>
      </candidateList>
      <explain>发文字号格式错误。</explain>
      <paraID>35940B4A</paraID>
      <start>36</start>
      <end>46</end>
      <status>unmodified</status>
      <modifiedWord/>
      <trackRevisions>false</trackRevisions>
    </reviewItem>
    <reviewItem>
      <errorID>42795516-6d0c-4663-8e8c-020fbcffd751</errorID>
      <errorWord>(</errorWord>
      <group>L1_Format</group>
      <groupName>格式问题</groupName>
      <ability>L2_HalfPunc_CN</ability>
      <abilityName/>
      <candidateList>
        <item>（</item>
      </candidateList>
      <explain>文本全半角错误。</explain>
      <paraID> 6B4C356</paraID>
      <start>36</start>
      <end>37</end>
      <status>unmodified</status>
      <modifiedWord/>
      <trackRevisions>false</trackRevisions>
    </reviewItem>
    <reviewItem>
      <errorID>9e7e767c-58eb-4373-9895-1f97de3c6c6d</errorID>
      <errorWord>)</errorWord>
      <group>L1_Format</group>
      <groupName>格式问题</groupName>
      <ability>L2_HalfPunc_CN</ability>
      <abilityName/>
      <candidateList>
        <item>）</item>
      </candidateList>
      <explain>文本全半角错误。</explain>
      <paraID> 6B4C356</paraID>
      <start>46</start>
      <end>47</end>
      <status>unmodified</status>
      <modifiedWord/>
      <trackRevisions>false</trackRevisions>
    </reviewItem>
    <reviewItem>
      <errorID>9666c1ae-8049-49c8-8372-4f3aadd50dd5</errorID>
      <errorWord>[2014]68号</errorWord>
      <group>L1_Knowledge</group>
      <groupName>知识性问题</groupName>
      <ability>L2_Knowledge</ability>
      <abilityName>其他知识</abilityName>
      <candidateList>
        <item>〔2014〕68号</item>
      </candidateList>
      <explain>发文字号格式错误。</explain>
      <paraID>4C972ABA</paraID>
      <start>38</start>
      <end>47</end>
      <status>unmodified</status>
      <modifiedWord/>
      <trackRevisions>false</trackRevisions>
    </reviewItem>
    <reviewItem>
      <errorID>16183e39-eb3a-4f3c-b488-e8e58caaacc1</errorID>
      <errorWord>,</errorWord>
      <group>L1_Format</group>
      <groupName>格式问题</groupName>
      <ability>L2_HalfPunc_CN</ability>
      <abilityName/>
      <candidateList>
        <item>，</item>
      </candidateList>
      <explain>文本全半角错误。</explain>
      <paraID>4FBCB244</paraID>
      <start>24</start>
      <end>25</end>
      <status>unmodified</status>
      <modifiedWord/>
      <trackRevisions>false</trackRevisions>
    </reviewItem>
    <reviewItem>
      <errorID>4d8bfa56-fc70-4678-9c5b-f4ecd34ab28e</errorID>
      <errorWord>(</errorWord>
      <group>L1_Format</group>
      <groupName>格式问题</groupName>
      <ability>L2_HalfPunc_CN</ability>
      <abilityName/>
      <candidateList>
        <item>（</item>
      </candidateList>
      <explain>文本全半角错误。</explain>
      <paraID>4E4776C4</paraID>
      <start>120</start>
      <end>121</end>
      <status>unmodified</status>
      <modifiedWord/>
      <trackRevisions>false</trackRevisions>
    </reviewItem>
    <reviewItem>
      <errorID>695d8e5d-a8c7-40da-afbf-a005a88cdebd</errorID>
      <errorWord>)</errorWord>
      <group>L1_Format</group>
      <groupName>格式问题</groupName>
      <ability>L2_HalfPunc_CN</ability>
      <abilityName/>
      <candidateList>
        <item>）</item>
      </candidateList>
      <explain>文本全半角错误。</explain>
      <paraID>4E4776C4</paraID>
      <start>158</start>
      <end>159</end>
      <status>unmodified</status>
      <modifiedWord/>
      <trackRevisions>false</trackRevisions>
    </reviewItem>
    <reviewItem>
      <errorID>5fb8bbc8-c661-4709-aa55-cccd423d084c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8BF588E</paraID>
      <start>0</start>
      <end>2</end>
      <status>unmodified</status>
      <modifiedWord/>
      <trackRevisions>false</trackRevisions>
    </reviewItem>
    <reviewItem>
      <errorID>627d1693-3561-488e-87e0-7b3ae3002bd3</errorID>
      <errorWord>投标人的</errorWord>
      <group>L1_Word</group>
      <groupName>字词问题</groupName>
      <ability>L2_Typo</ability>
      <abilityName>字词错误</abilityName>
      <candidateList>
        <item>投标人</item>
      </candidateList>
      <explain/>
      <paraID> 8BF588E</paraID>
      <start>19</start>
      <end>22</end>
      <status>modified</status>
      <modifiedWord>投标人</modifiedWord>
      <trackRevisions>false</trackRevisions>
    </reviewItem>
    <reviewItem>
      <errorID>6051f43b-510f-4cda-bb2e-d4a4a75b53ef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29F2B5BB</paraID>
      <start>0</start>
      <end>2</end>
      <status>unmodified</status>
      <modifiedWord/>
      <trackRevisions>false</trackRevisions>
    </reviewItem>
    <reviewItem>
      <errorID>9e4f0c1c-e706-4855-99a3-bec0091a108e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15BB186D</paraID>
      <start>0</start>
      <end>2</end>
      <status>unmodified</status>
      <modifiedWord/>
      <trackRevisions>false</trackRevisions>
    </reviewItem>
    <reviewItem>
      <errorID>297b2bd4-ac9f-47b6-9c66-b83b716f0f92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52E79B4</paraID>
      <start>0</start>
      <end>2</end>
      <status>unmodified</status>
      <modifiedWord/>
      <trackRevisions>false</trackRevisions>
    </reviewItem>
    <reviewItem>
      <errorID>2274dc37-607c-4662-b6e9-71ee33cb029f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1B69A9F1</paraID>
      <start>0</start>
      <end>2</end>
      <status>unmodified</status>
      <modifiedWord/>
      <trackRevisions>false</trackRevisions>
    </reviewItem>
    <reviewItem>
      <errorID>f18bc129-b15f-45dd-9688-271ce532f0da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279B1AC9</paraID>
      <start>0</start>
      <end>2</end>
      <status>unmodified</status>
      <modifiedWord/>
      <trackRevisions>false</trackRevisions>
    </reviewItem>
    <reviewItem>
      <errorID>f3406f79-737c-4db1-9971-d382ffc8f1e6</errorID>
      <errorWord>其它</errorWord>
      <group>L1_Word</group>
      <groupName>字词问题</groupName>
      <ability>L2_Alias</ability>
      <abilityName>也作/曾用词</abilityName>
      <candidateList>
        <item>其他</item>
      </candidateList>
      <explain>词汇[其它]为不规范表述或旧称，其规范书面表述为[其他]。</explain>
      <paraID>279B1AC9</paraID>
      <start>31</start>
      <end>33</end>
      <status>modified</status>
      <modifiedWord>其他</modifiedWord>
      <trackRevisions>false</trackRevisions>
    </reviewItem>
    <reviewItem>
      <errorID>77de7690-344f-4020-be2c-5c019dc42b70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1E64F216</paraID>
      <start>0</start>
      <end>2</end>
      <status>unmodified</status>
      <modifiedWord/>
      <trackRevisions>false</trackRevisions>
    </reviewItem>
    <reviewItem>
      <errorID>b0b9a6d2-3c46-42a8-9edf-b16680a12541</errorID>
      <errorWord>具有有</errorWord>
      <group>L1_Word</group>
      <groupName>字词问题</groupName>
      <ability>L2_Typo</ability>
      <abilityName>字词错误</abilityName>
      <candidateList>
        <item>具有</item>
      </candidateList>
      <explain>〈动〉有（多用于抽象事物）：～信心｜～伟大的意义。</explain>
      <paraID>1E64F216</paraID>
      <start>5</start>
      <end>7</end>
      <status>modified</status>
      <modifiedWord>具有</modifiedWord>
      <trackRevisions>false</trackRevisions>
    </reviewItem>
    <reviewItem>
      <errorID>53cfaa09-5353-436f-8219-b9a0accad396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1FF33EE2</paraID>
      <start>0</start>
      <end>2</end>
      <status>unmodified</status>
      <modifiedWord/>
      <trackRevisions>false</trackRevisions>
    </reviewItem>
    <reviewItem>
      <errorID>5bb384be-0d2b-4e0d-9a87-9e50e3d0d7d9</errorID>
      <errorWord>:</errorWord>
      <group>L1_Format</group>
      <groupName>格式问题</groupName>
      <ability>L2_HalfPunc_CN</ability>
      <abilityName/>
      <candidateList>
        <item>：</item>
      </candidateList>
      <explain>文本全半角错误。</explain>
      <paraID>721A4F90</paraID>
      <start>1</start>
      <end>2</end>
      <status>unmodified</status>
      <modifiedWord/>
      <trackRevisions>false</trackRevisions>
    </reviewItem>
    <reviewItem>
      <errorID>d0d2969c-d101-4bb0-829d-7d0e761ea993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2CEF23B6</paraID>
      <start>0</start>
      <end>2</end>
      <status>unmodified</status>
      <modifiedWord/>
      <trackRevisions>false</trackRevisions>
    </reviewItem>
    <reviewItem>
      <errorID>b3bffbc3-333f-41ba-b5f5-a50ae0fe9644</errorID>
      <errorWord>零记录</errorWord>
      <group>L1_Word</group>
      <groupName>字词问题</groupName>
      <ability>L2_Alias</ability>
      <abilityName>也作/曾用词</abilityName>
      <candidateList>
        <item>零纪录</item>
      </candidateList>
      <explain>词汇[零记录]为不规范表述或旧称，其规范书面表述为[零纪录]。</explain>
      <paraID>5FEC2716</paraID>
      <start>19</start>
      <end>22</end>
      <status>modified</status>
      <modifiedWord>零纪录</modifiedWord>
      <trackRevisions>false</trackRevisions>
    </reviewItem>
    <reviewItem>
      <errorID>3f868a83-fc15-45ae-9685-04aba384148c</errorID>
      <errorWord>部分</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 A08FC1B</paraID>
      <start>39</start>
      <end>41</end>
      <status>modified</status>
      <modifiedWord>部门</modifiedWord>
      <trackRevisions>false</trackRevisions>
    </reviewItem>
    <reviewItem>
      <errorID>f6a9bc4c-1584-4b26-b703-1c1cdb4ce909</errorID>
      <errorWord>）</errorWord>
      <group>L1_Punc</group>
      <groupName>标点问题</groupName>
      <ability>L2_Punc_CN</ability>
      <abilityName/>
      <candidateList/>
      <explain>此处标点可能未正确匹配，请检查句子中是否存在标点冗余、缺失或使用错误的情况。</explain>
      <paraID> A08FC1B</paraID>
      <start>249</start>
      <end>250</end>
      <status>unmodified</status>
      <modifiedWord/>
      <trackRevisions>false</trackRevisions>
    </reviewItem>
    <reviewItem>
      <errorID>34bedde9-a610-4ffd-a4e6-ee1b528b45c3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6D8D2745</paraID>
      <start>0</start>
      <end>2</end>
      <status>unmodified</status>
      <modifiedWord/>
      <trackRevisions>false</trackRevisions>
    </reviewItem>
    <reviewItem>
      <errorID>ca0b7cf8-186b-4d35-a924-aa45aa1f0b10</errorID>
      <errorWord>操作员的</errorWord>
      <group>L1_Word</group>
      <groupName>字词问题</groupName>
      <ability>L2_Typo</ability>
      <abilityName>字词错误</abilityName>
      <candidateList>
        <item>操作员</item>
      </candidateList>
      <explain/>
      <paraID>2597CED3</paraID>
      <start>12</start>
      <end>16</end>
      <status>unmodified</status>
      <modifiedWord/>
      <trackRevisions>false</trackRevisions>
    </reviewItem>
    <reviewItem>
      <errorID>acf4eba2-7157-4819-9d0f-1e796fb66d09</errorID>
      <errorWord>部分</errorWord>
      <group>L1_Word</group>
      <groupName>字词问题</groupName>
      <ability>L2_Typo</ability>
      <abilityName>字词错误</abilityName>
      <candidateList>
        <item>部门</item>
      </candidateList>
      <explain>〈名〉组成某一整体的部分或单位：工业～｜文教～｜～经济学（如工业经济学、农业经济学）｜一本书要经过编辑、出版、印刷、发行等～，然后才能跟读者见面。</explain>
      <paraID>559E980A</paraID>
      <start>19</start>
      <end>21</end>
      <status>modified</status>
      <modifiedWord>部门</modifiedWord>
      <trackRevisions>false</trackRevisions>
    </reviewItem>
    <reviewItem>
      <errorID>2c77f0bf-0831-4999-a86a-1cfe4511f5a9</errorID>
      <errorWord>执业技能鉴定</errorWord>
      <group>L1_Knowledge</group>
      <groupName>知识性问题</groupName>
      <ability>L2_Term</ability>
      <abilityName>专业术语</abilityName>
      <candidateList>
        <item>职业技能鉴定</item>
      </candidateList>
      <explain/>
      <paraID>559E980A</paraID>
      <start>88</start>
      <end>94</end>
      <status>unmodified</status>
      <modifiedWord/>
      <trackRevisions>false</trackRevisions>
    </reviewItem>
    <reviewItem>
      <errorID>3ee43719-b4fb-4a74-aed2-c697456eb1a0</errorID>
      <errorWord>部分</errorWord>
      <group>L1_Word</group>
      <groupName>字词问题</groupName>
      <ability>L2_Typo</ability>
      <abilityName>字词错误</abilityName>
      <candidateList>
        <item>部</item>
      </candidateList>
      <explain>❶部分；部位：内～｜上～｜胸～｜局～。❷〈名〉中央政府按业务划分的单位（级别比局、厅高）：外交～｜商务～。❸一般机关企业按业务划分的单位：编辑～｜门市～。❹军队（连以上）等的领导机构或其所在地：连～｜司令～。❺〈名〉指部队：率～突围。❻〈书〉统辖；统率；所～｜～领。❼〈量〉a）用于书籍、影片等：两～字典｜一～纪录片｜三～电视剧。</explain>
      <paraID>559E980A</paraID>
      <start>120</start>
      <end>121</end>
      <status>modified</status>
      <modifiedWord>部</modifiedWord>
      <trackRevisions>false</trackRevisions>
    </reviewItem>
    <reviewItem>
      <errorID>2956c0b6-53c6-4be1-bec5-6b9a9564aee9</errorID>
      <errorWord>）</errorWord>
      <group>L1_Punc</group>
      <groupName>标点问题</groupName>
      <ability>L2_Punc_CN</ability>
      <abilityName/>
      <candidateList/>
      <explain>此处标点可能未正确匹配，请检查句子中是否存在标点冗余、缺失或使用错误的情况。</explain>
      <paraID>559E980A</paraID>
      <start>217</start>
      <end>218</end>
      <status>unmodified</status>
      <modifiedWord/>
      <trackRevisions>false</trackRevisions>
    </reviewItem>
    <reviewItem>
      <errorID>de9a002b-4eea-40a3-9376-e997ae504be9</errorID>
      <errorWord>;</errorWord>
      <group>L1_Format</group>
      <groupName>格式问题</groupName>
      <ability>L2_HalfPunc_CN</ability>
      <abilityName/>
      <candidateList>
        <item>；</item>
      </candidateList>
      <explain>文本全半角错误。</explain>
      <paraID>3AC6D4CA</paraID>
      <start>71</start>
      <end>72</end>
      <status>unmodified</status>
      <modifiedWord/>
      <trackRevisions>false</trackRevisions>
    </reviewItem>
    <reviewItem>
      <errorID>64780966-414a-41ef-8130-2aa8d0a10e3a</errorID>
      <errorWord>(</errorWord>
      <group>L1_Format</group>
      <groupName>格式问题</groupName>
      <ability>L2_HalfPunc_CN</ability>
      <abilityName/>
      <candidateList>
        <item>（</item>
      </candidateList>
      <explain>文本全半角错误。</explain>
      <paraID>3AC6D4CA</paraID>
      <start>100</start>
      <end>101</end>
      <status>unmodified</status>
      <modifiedWord/>
      <trackRevisions>false</trackRevisions>
    </reviewItem>
    <reviewItem>
      <errorID>b3dc294a-5fa8-4815-b51e-a8f17c9c3236</errorID>
      <errorWord>:</errorWord>
      <group>L1_Format</group>
      <groupName>格式问题</groupName>
      <ability>L2_HalfPunc_CN</ability>
      <abilityName/>
      <candidateList>
        <item>：</item>
      </candidateList>
      <explain>文本全半角错误。</explain>
      <paraID>3AC6D4CA</paraID>
      <start>108</start>
      <end>109</end>
      <status>unmodified</status>
      <modifiedWord/>
      <trackRevisions>false</trackRevisions>
    </reviewItem>
    <reviewItem>
      <errorID>9866f5fe-5611-4349-a920-7e1ff8ae7ebc</errorID>
      <errorWord>)</errorWord>
      <group>L1_Format</group>
      <groupName>格式问题</groupName>
      <ability>L2_HalfPunc_CN</ability>
      <abilityName/>
      <candidateList>
        <item>）</item>
      </candidateList>
      <explain>文本全半角错误。</explain>
      <paraID>3AC6D4CA</paraID>
      <start>192</start>
      <end>193</end>
      <status>unmodified</status>
      <modifiedWord/>
      <trackRevisions>false</trackRevisions>
    </reviewItem>
    <reviewItem>
      <errorID>5db0cca8-b1d7-4afe-812a-8fd623e36254</errorID>
      <errorWord>、</errorWord>
      <group>L1_Word</group>
      <groupName>字词问题</groupName>
      <ability>L2_Typo</ability>
      <abilityName>字词错误</abilityName>
      <candidateList>
        <item>、有</item>
      </candidateList>
      <explain/>
      <paraID>266CBB49</paraID>
      <start>91</start>
      <end>92</end>
      <status>unmodified</status>
      <modifiedWord/>
      <trackRevisions>false</trackRevisions>
    </reviewItem>
    <reviewItem>
      <errorID>6dcf0841-de32-49d4-8e9f-b9ef1f2d17c7</errorID>
      <errorWord>;</errorWord>
      <group>L1_Format</group>
      <groupName>格式问题</groupName>
      <ability>L2_HalfPunc_CN</ability>
      <abilityName/>
      <candidateList>
        <item>；</item>
      </candidateList>
      <explain>文本全半角错误。</explain>
      <paraID>113C53B3</paraID>
      <start>71</start>
      <end>72</end>
      <status>unmodified</status>
      <modifiedWord/>
      <trackRevisions>false</trackRevisions>
    </reviewItem>
    <reviewItem>
      <errorID>4319d1b7-7c5c-4ba3-bb4d-8ed08a4cb842</errorID>
      <errorWord>(</errorWord>
      <group>L1_Format</group>
      <groupName>格式问题</groupName>
      <ability>L2_HalfPunc_CN</ability>
      <abilityName/>
      <candidateList>
        <item>（</item>
      </candidateList>
      <explain>文本全半角错误。</explain>
      <paraID>113C53B3</paraID>
      <start>100</start>
      <end>101</end>
      <status>unmodified</status>
      <modifiedWord/>
      <trackRevisions>false</trackRevisions>
    </reviewItem>
    <reviewItem>
      <errorID>7a55678e-98d8-4f11-8522-678e0537932a</errorID>
      <errorWord>:</errorWord>
      <group>L1_Format</group>
      <groupName>格式问题</groupName>
      <ability>L2_HalfPunc_CN</ability>
      <abilityName/>
      <candidateList>
        <item>：</item>
      </candidateList>
      <explain>文本全半角错误。</explain>
      <paraID>113C53B3</paraID>
      <start>108</start>
      <end>109</end>
      <status>unmodified</status>
      <modifiedWord/>
      <trackRevisions>false</trackRevisions>
    </reviewItem>
    <reviewItem>
      <errorID>602f8043-da37-494b-a73d-027398211c3f</errorID>
      <errorWord>)</errorWord>
      <group>L1_Format</group>
      <groupName>格式问题</groupName>
      <ability>L2_HalfPunc_CN</ability>
      <abilityName/>
      <candidateList>
        <item>）</item>
      </candidateList>
      <explain>文本全半角错误。</explain>
      <paraID>113C53B3</paraID>
      <start>192</start>
      <end>193</end>
      <status>unmodified</status>
      <modifiedWord/>
      <trackRevisions>false</trackRevisions>
    </reviewItem>
    <reviewItem>
      <errorID>5f9a9faf-e8b6-47df-8ea6-8de04585c3fb</errorID>
      <errorWord>;</errorWord>
      <group>L1_Format</group>
      <groupName>格式问题</groupName>
      <ability>L2_HalfPunc_CN</ability>
      <abilityName/>
      <candidateList>
        <item>；</item>
      </candidateList>
      <explain>文本全半角错误。</explain>
      <paraID>4D796663</paraID>
      <start>71</start>
      <end>72</end>
      <status>unmodified</status>
      <modifiedWord/>
      <trackRevisions>false</trackRevisions>
    </reviewItem>
    <reviewItem>
      <errorID>51fb8724-eee6-44ef-aa35-32d025bce8b7</errorID>
      <errorWord>(</errorWord>
      <group>L1_Format</group>
      <groupName>格式问题</groupName>
      <ability>L2_HalfPunc_CN</ability>
      <abilityName/>
      <candidateList>
        <item>（</item>
      </candidateList>
      <explain>文本全半角错误。</explain>
      <paraID>4D796663</paraID>
      <start>100</start>
      <end>101</end>
      <status>unmodified</status>
      <modifiedWord/>
      <trackRevisions>false</trackRevisions>
    </reviewItem>
    <reviewItem>
      <errorID>e6109cc5-6b44-4758-9e53-8eec43eecb63</errorID>
      <errorWord>:</errorWord>
      <group>L1_Format</group>
      <groupName>格式问题</groupName>
      <ability>L2_HalfPunc_CN</ability>
      <abilityName/>
      <candidateList>
        <item>：</item>
      </candidateList>
      <explain>文本全半角错误。</explain>
      <paraID>4D796663</paraID>
      <start>108</start>
      <end>109</end>
      <status>unmodified</status>
      <modifiedWord/>
      <trackRevisions>false</trackRevisions>
    </reviewItem>
    <reviewItem>
      <errorID>5701420e-1052-4e6a-ba37-42c1c37e0e7a</errorID>
      <errorWord>)</errorWord>
      <group>L1_Format</group>
      <groupName>格式问题</groupName>
      <ability>L2_HalfPunc_CN</ability>
      <abilityName/>
      <candidateList>
        <item>）</item>
      </candidateList>
      <explain>文本全半角错误。</explain>
      <paraID>4D796663</paraID>
      <start>192</start>
      <end>193</end>
      <status>unmodified</status>
      <modifiedWord/>
      <trackRevisions>false</trackRevisions>
    </reviewItem>
    <reviewItem>
      <errorID>7e531104-528c-46f2-be78-6fca64bb5bf1</errorID>
      <errorWord>;</errorWord>
      <group>L1_Format</group>
      <groupName>格式问题</groupName>
      <ability>L2_HalfPunc_CN</ability>
      <abilityName/>
      <candidateList>
        <item>；</item>
      </candidateList>
      <explain>文本全半角错误。</explain>
      <paraID> A754E58</paraID>
      <start>71</start>
      <end>72</end>
      <status>unmodified</status>
      <modifiedWord/>
      <trackRevisions>false</trackRevisions>
    </reviewItem>
    <reviewItem>
      <errorID>b9eb594e-354c-4a58-9762-615792211da6</errorID>
      <errorWord>(</errorWord>
      <group>L1_Format</group>
      <groupName>格式问题</groupName>
      <ability>L2_HalfPunc_CN</ability>
      <abilityName/>
      <candidateList>
        <item>（</item>
      </candidateList>
      <explain>文本全半角错误。</explain>
      <paraID> A754E58</paraID>
      <start>100</start>
      <end>101</end>
      <status>unmodified</status>
      <modifiedWord/>
      <trackRevisions>false</trackRevisions>
    </reviewItem>
    <reviewItem>
      <errorID>e58ab777-d59f-4c9f-817c-a4c89f0a748e</errorID>
      <errorWord>:</errorWord>
      <group>L1_Format</group>
      <groupName>格式问题</groupName>
      <ability>L2_HalfPunc_CN</ability>
      <abilityName/>
      <candidateList>
        <item>：</item>
      </candidateList>
      <explain>文本全半角错误。</explain>
      <paraID> A754E58</paraID>
      <start>108</start>
      <end>109</end>
      <status>unmodified</status>
      <modifiedWord/>
      <trackRevisions>false</trackRevisions>
    </reviewItem>
    <reviewItem>
      <errorID>febfdac7-94da-4d95-99b4-644ea1cfad64</errorID>
      <errorWord>)</errorWord>
      <group>L1_Format</group>
      <groupName>格式问题</groupName>
      <ability>L2_HalfPunc_CN</ability>
      <abilityName/>
      <candidateList>
        <item>）</item>
      </candidateList>
      <explain>文本全半角错误。</explain>
      <paraID> A754E58</paraID>
      <start>192</start>
      <end>193</end>
      <status>unmodified</status>
      <modifiedWord/>
      <trackRevisions>false</trackRevisions>
    </reviewItem>
    <reviewItem>
      <errorID>4c2c361b-ec1b-42fb-9729-e92364e10aad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3E34942B</paraID>
      <start>0</start>
      <end>2</end>
      <status>unmodified</status>
      <modifiedWord/>
      <trackRevisions>false</trackRevisions>
    </reviewItem>
    <reviewItem>
      <errorID>458b90cf-207a-4e93-ad2d-f1fe28d29d8c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225D95AF</paraID>
      <start>0</start>
      <end>2</end>
      <status>unmodified</status>
      <modifiedWord/>
      <trackRevisions>false</trackRevisions>
    </reviewItem>
    <reviewItem>
      <errorID>88f03e3a-a970-4dd8-a0b4-e25bd4b95c3c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1C2E6A71</paraID>
      <start>0</start>
      <end>2</end>
      <status>unmodified</status>
      <modifiedWord/>
      <trackRevisions>false</trackRevisions>
    </reviewItem>
    <reviewItem>
      <errorID>856659be-112f-40bd-9a3b-ab0eb13e9be2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47C6898E</paraID>
      <start>0</start>
      <end>2</end>
      <status>unmodified</status>
      <modifiedWord/>
      <trackRevisions>false</trackRevisions>
    </reviewItem>
    <reviewItem>
      <errorID>c1d6fcdb-c083-427d-8d57-111492079553</errorID>
      <errorWord>（</errorWord>
      <group>L1_Punc</group>
      <groupName>标点问题</groupName>
      <ability>L2_Punc_CN</ability>
      <abilityName/>
      <candidateList/>
      <explain>此处标点可能未正确匹配，请检查句子中是否存在标点冗余、缺失或使用错误的情况。</explain>
      <paraID>1582F69B</paraID>
      <start>0</start>
      <end>1</end>
      <status>unmodified</status>
      <modifiedWord/>
      <trackRevisions>false</trackRevisions>
    </reviewItem>
    <reviewItem>
      <errorID>ec78a021-ea2f-480a-947d-0bf30999348a</errorID>
      <errorWord>(</errorWord>
      <group>L1_Format</group>
      <groupName>格式问题</groupName>
      <ability>L2_HalfPunc_CN</ability>
      <abilityName/>
      <candidateList>
        <item>（</item>
      </candidateList>
      <explain>文本全半角错误。</explain>
      <paraID>224FCBB6</paraID>
      <start>34</start>
      <end>35</end>
      <status>unmodified</status>
      <modifiedWord/>
      <trackRevisions>false</trackRevisions>
    </reviewItem>
    <reviewItem>
      <errorID>31d8c628-4931-4259-8495-d347f293b145</errorID>
      <errorWord>)</errorWord>
      <group>L1_Format</group>
      <groupName>格式问题</groupName>
      <ability>L2_HalfPunc_CN</ability>
      <abilityName/>
      <candidateList>
        <item>）</item>
      </candidateList>
      <explain>文本全半角错误。</explain>
      <paraID>224FCBB6</paraID>
      <start>37</start>
      <end>38</end>
      <status>unmodified</status>
      <modifiedWord/>
      <trackRevisions>false</trackRevisions>
    </reviewItem>
    <reviewItem>
      <errorID>c08660af-f7ec-43bf-948f-b77541193aca</errorID>
      <errorWord>,</errorWord>
      <group>L1_Format</group>
      <groupName>格式问题</groupName>
      <ability>L2_HalfPunc_CN</ability>
      <abilityName/>
      <candidateList>
        <item>，</item>
      </candidateList>
      <explain>文本全半角错误。</explain>
      <paraID>13A092CD</paraID>
      <start>8</start>
      <end>9</end>
      <status>unmodified</status>
      <modifiedWord/>
      <trackRevisions>false</trackRevisions>
    </reviewItem>
    <reviewItem>
      <errorID>bd314267-2091-4ad1-a4ad-ec5ec4f55882</errorID>
      <errorWord>,</errorWord>
      <group>L1_Format</group>
      <groupName>格式问题</groupName>
      <ability>L2_HalfPunc_CN</ability>
      <abilityName/>
      <candidateList>
        <item>，</item>
      </candidateList>
      <explain>文本全半角错误。</explain>
      <paraID>13A092CD</paraID>
      <start>34</start>
      <end>35</end>
      <status>unmodified</status>
      <modifiedWord/>
      <trackRevisions>false</trackRevisions>
    </reviewItem>
    <reviewItem>
      <errorID>713378e5-041c-4024-a1b6-87382f520079</errorID>
      <errorWord>间</errorWord>
      <group>L1_Word</group>
      <groupName>字词问题</groupName>
      <ability>L2_Typo</ability>
      <abilityName>字词错误</abilityName>
      <candidateList>
        <item>间内</item>
      </candidateList>
      <explain/>
      <paraID>13A092CD</paraID>
      <start>47</start>
      <end>48</end>
      <status>unmodified</status>
      <modifiedWord/>
      <trackRevisions>false</trackRevisions>
    </reviewItem>
    <reviewItem>
      <errorID>02f37c76-5bd2-455b-b7ca-d7019380014c</errorID>
      <errorWord>(</errorWord>
      <group>L1_Format</group>
      <groupName>格式问题</groupName>
      <ability>L2_HalfPunc_CN</ability>
      <abilityName/>
      <candidateList>
        <item>（</item>
      </candidateList>
      <explain>文本全半角错误。</explain>
      <paraID>598FB7B9</paraID>
      <start>33</start>
      <end>34</end>
      <status>unmodified</status>
      <modifiedWord/>
      <trackRevisions>false</trackRevisions>
    </reviewItem>
    <reviewItem>
      <errorID>8c403815-055f-486d-a835-430bdfde041f</errorID>
      <errorWord>)</errorWord>
      <group>L1_Format</group>
      <groupName>格式问题</groupName>
      <ability>L2_HalfPunc_CN</ability>
      <abilityName/>
      <candidateList>
        <item>）</item>
      </candidateList>
      <explain>文本全半角错误。</explain>
      <paraID>598FB7B9</paraID>
      <start>45</start>
      <end>46</end>
      <status>unmodified</status>
      <modifiedWord/>
      <trackRevisions>false</trackRevisions>
    </reviewItem>
    <reviewItem>
      <errorID>7f69f4cb-bf2e-4926-8ad4-9dc35e1705e1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598FB7B9</paraID>
      <start>95</start>
      <end>96</end>
      <status>unmodified</status>
      <modifiedWord/>
      <trackRevisions>false</trackRevisions>
    </reviewItem>
    <reviewItem>
      <errorID>5032b091-9b18-4ec1-b8e4-43d2baa3c243</errorID>
      <errorWord>(</errorWord>
      <group>L1_Format</group>
      <groupName>格式问题</groupName>
      <ability>L2_HalfPunc_CN</ability>
      <abilityName/>
      <candidateList>
        <item>（</item>
      </candidateList>
      <explain>文本全半角错误。</explain>
      <paraID>598FB7B9</paraID>
      <start>191</start>
      <end>192</end>
      <status>unmodified</status>
      <modifiedWord/>
      <trackRevisions>false</trackRevisions>
    </reviewItem>
    <reviewItem>
      <errorID>a923fad5-5e80-43f8-bc7e-902db745ce69</errorID>
      <errorWord>)</errorWord>
      <group>L1_Format</group>
      <groupName>格式问题</groupName>
      <ability>L2_HalfPunc_CN</ability>
      <abilityName/>
      <candidateList>
        <item>）</item>
      </candidateList>
      <explain>文本全半角错误。</explain>
      <paraID>598FB7B9</paraID>
      <start>208</start>
      <end>209</end>
      <status>unmodified</status>
      <modifiedWord/>
      <trackRevisions>false</trackRevisions>
    </reviewItem>
    <reviewItem>
      <errorID>3f83f4e0-5603-456f-b545-f21aaf780c7e</errorID>
      <errorWord>〔2017〕 141号</errorWord>
      <group>L1_Knowledge</group>
      <groupName>知识性问题</groupName>
      <ability>L2_Knowledge</ability>
      <abilityName>其他知识</abilityName>
      <candidateList>
        <item>〔2017〕141号</item>
      </candidateList>
      <explain>发文字号格式错误。</explain>
      <paraID>5DF3AD26</paraID>
      <start>49</start>
      <end>60</end>
      <status>unmodified</status>
      <modifiedWord/>
      <trackRevisions>false</trackRevisions>
    </reviewItem>
    <reviewItem>
      <errorID>6b5542f3-a8c0-4233-9937-74d8809816fb</errorID>
      <errorWord>（</errorWord>
      <group>L1_Punc</group>
      <groupName>标点问题</groupName>
      <ability>L2_Punc_CN</ability>
      <abilityName/>
      <candidateList/>
      <explain>同一形式括号套用。</explain>
      <paraID>2A796CB0</paraID>
      <start>19</start>
      <end>20</end>
      <status>unmodified</status>
      <modifiedWord/>
      <trackRevisions>false</trackRevisions>
    </reviewItem>
    <reviewItem>
      <errorID>63674600-1131-4abe-94ff-4bcad7be30a4</errorID>
      <errorWord>）</errorWord>
      <group>L1_Punc</group>
      <groupName>标点问题</groupName>
      <ability>L2_Punc_CN</ability>
      <abilityName/>
      <candidateList/>
      <explain>同一形式括号套用。</explain>
      <paraID>2A796CB0</paraID>
      <start>29</start>
      <end>30</end>
      <status>unmodified</status>
      <modifiedWord/>
      <trackRevisions>false</trackRevisions>
    </reviewItem>
    <reviewItem>
      <errorID>681ba621-54c9-4f09-bdaf-bfca22113ec8</errorID>
      <errorWord>:</errorWord>
      <group>L1_Format</group>
      <groupName>格式问题</groupName>
      <ability>L2_HalfPunc_CN</ability>
      <abilityName/>
      <candidateList>
        <item>：</item>
      </candidateList>
      <explain>文本全半角错误。</explain>
      <paraID> 5AF9957</paraID>
      <start>1</start>
      <end>2</end>
      <status>unmodified</status>
      <modifiedWord/>
      <trackRevisions>false</trackRevisions>
    </reviewItem>
    <reviewItem>
      <errorID>1693e298-5f95-47d5-bc47-7277ad61ff44</errorID>
      <errorWord>,</errorWord>
      <group>L1_Format</group>
      <groupName>格式问题</groupName>
      <ability>L2_HalfPunc_CN</ability>
      <abilityName/>
      <candidateList>
        <item>，</item>
      </candidateList>
      <explain>文本全半角错误。</explain>
      <paraID> 5AF9957</paraID>
      <start>8</start>
      <end>9</end>
      <status>unmodified</status>
      <modifiedWord/>
      <trackRevisions>false</trackRevisions>
    </reviewItem>
    <reviewItem>
      <errorID>30b6fd72-ce17-4cfa-87cc-c3f895e607fe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167259B1</paraID>
      <start>0</start>
      <end>2</end>
      <status>unmodified</status>
      <modifiedWord/>
      <trackRevisions>false</trackRevisions>
    </reviewItem>
    <reviewItem>
      <errorID>859aab62-c9e1-47a9-9995-1500fc4ff56a</errorID>
      <errorWord>项</errorWord>
      <group>L1_Word</group>
      <groupName>字词问题</groupName>
      <ability>L2_Typo</ability>
      <abilityName>字词错误</abilityName>
      <candidateList>
        <item>项目</item>
      </candidateList>
      <explain>〈名〉事物分成的门类：服务～｜体育～｜建设～。</explain>
      <paraID>167259B1</paraID>
      <start>20</start>
      <end>22</end>
      <status>modified</status>
      <modifiedWord>项目</modifiedWord>
      <trackRevisions>false</trackRevisions>
    </reviewItem>
    <reviewItem>
      <errorID>808f9f9e-f456-45d0-a54a-37a444144890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2D8E6AB4</paraID>
      <start>5</start>
      <end>6</end>
      <status>unmodified</status>
      <modifiedWord/>
      <trackRevisions>false</trackRevisions>
    </reviewItem>
    <reviewItem>
      <errorID>3481473b-000b-4993-b032-4670ce493419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6B145B20</paraID>
      <start>0</start>
      <end>2</end>
      <status>unmodified</status>
      <modifiedWord/>
      <trackRevisions>false</trackRevisions>
    </reviewItem>
    <reviewItem>
      <errorID>01022361-11a5-441f-9466-acdcdd22f24b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6B2AB101</paraID>
      <start>0</start>
      <end>2</end>
      <status>unmodified</status>
      <modifiedWord/>
      <trackRevisions>false</trackRevisions>
    </reviewItem>
    <reviewItem>
      <errorID>0cdf8830-a185-474a-8683-b17eed0bca5a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39F5CD94</paraID>
      <start>0</start>
      <end>2</end>
      <status>unmodified</status>
      <modifiedWord/>
      <trackRevisions>false</trackRevisions>
    </reviewItem>
    <reviewItem>
      <errorID>45c8d8e3-b85d-46ee-9f40-34abd2877d56</errorID>
      <errorWord>合价</errorWord>
      <group>L1_Word</group>
      <groupName>字词问题</groupName>
      <ability>L2_Typo</ability>
      <abilityName>字词错误</abilityName>
      <candidateList>
        <item>合计</item>
      </candidateList>
      <explain/>
      <paraID>3F8E7295</paraID>
      <start>0</start>
      <end>2</end>
      <status>unmodified</status>
      <modifiedWord/>
      <trackRevisions>false</trackRevisions>
    </reviewItem>
    <reviewItem>
      <errorID>e586c0bf-fe10-4a77-87d0-7fc09be0737d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38F0301</paraID>
      <start>0</start>
      <end>2</end>
      <status>unmodified</status>
      <modifiedWord/>
      <trackRevisions>false</trackRevisions>
    </reviewItem>
    <reviewItem>
      <errorID>e355e2af-44d8-48a5-b7db-a8df37be2cf3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237D3842</paraID>
      <start>0</start>
      <end>2</end>
      <status>unmodified</status>
      <modifiedWord/>
      <trackRevisions>false</trackRevisions>
    </reviewItem>
    <reviewItem>
      <errorID>f4e7cd65-4fe5-4887-be84-de6ee47e6733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97E39B6</paraID>
      <start>0</start>
      <end>2</end>
      <status>unmodified</status>
      <modifiedWord/>
      <trackRevisions>false</trackRevisions>
    </reviewItem>
    <reviewItem>
      <errorID>2ac2dba0-60d2-4ccb-bf6f-631a843045f2</errorID>
      <errorWord>中数量请</errorWord>
      <group>L1_Word</group>
      <groupName>字词问题</groupName>
      <ability>L2_Typo</ability>
      <abilityName>字词错误</abilityName>
      <candidateList>
        <item>重数量轻</item>
      </candidateList>
      <explain/>
      <paraID> 97E39B6</paraID>
      <start>7</start>
      <end>11</end>
      <status>unmodified</status>
      <modifiedWord/>
      <trackRevisions>false</trackRevisions>
    </reviewItem>
    <reviewItem>
      <errorID>08d87ae0-8399-4d6c-97ea-042fce8dd832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5A0EE3D</paraID>
      <start>0</start>
      <end>2</end>
      <status>unmodified</status>
      <modifiedWord/>
      <trackRevisions>false</trackRevisions>
    </reviewItem>
    <reviewItem>
      <errorID>c26e1b02-c889-4719-879d-ba28e1a33992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76C1045B</paraID>
      <start>0</start>
      <end>2</end>
      <status>unmodified</status>
      <modifiedWord/>
      <trackRevisions>false</trackRevisions>
    </reviewItem>
    <reviewItem>
      <errorID>06ef54ea-0179-486f-bb8d-a09da33a3330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2A47CD62</paraID>
      <start>10</start>
      <end>11</end>
      <status>unmodified</status>
      <modifiedWord/>
      <trackRevisions>false</trackRevisions>
    </reviewItem>
    <reviewItem>
      <errorID>d3a068e0-c5c2-4a40-a7e6-c9e74737db98</errorID>
      <errorWord>法律、法规</errorWord>
      <group>L1_Word</group>
      <groupName>字词问题</groupName>
      <ability>L2_Typo</ability>
      <abilityName>字词错误</abilityName>
      <candidateList>
        <item>法律法规</item>
      </candidateList>
      <explain/>
      <paraID>655872F1</paraID>
      <start>23</start>
      <end>28</end>
      <status>unmodified</status>
      <modifiedWord/>
      <trackRevisions>false</trackRevisions>
    </reviewItem>
    <reviewItem>
      <errorID>f4e2f058-2022-4ff3-96fc-d1925b646558</errorID>
      <errorWord>工做</errorWord>
      <group>L1_Word</group>
      <groupName>字词问题</groupName>
      <ability>L2_Typo</ability>
      <abilityName>字词错误</abilityName>
      <candidateList>
        <item>工作</item>
      </candidateList>
      <explain>存在发音相同字词的误用。</explain>
      <paraID>5D31DAF8</paraID>
      <start>25</start>
      <end>27</end>
      <status>unmodified</status>
      <modifiedWord/>
      <trackRevisions>false</trackRevisions>
    </reviewItem>
    <reviewItem>
      <errorID>962fbaa4-f3b1-456c-9182-0d29b7cd9b05</errorID>
      <errorWord>(</errorWord>
      <group>L1_Format</group>
      <groupName>格式问题</groupName>
      <ability>L2_HalfPunc_CN</ability>
      <abilityName/>
      <candidateList>
        <item>（</item>
      </candidateList>
      <explain>文本全半角错误。</explain>
      <paraID>10030BA5</paraID>
      <start>2</start>
      <end>3</end>
      <status>unmodified</status>
      <modifiedWord/>
      <trackRevisions>false</trackRevisions>
    </reviewItem>
    <reviewItem>
      <errorID>55cc6449-05e6-4a7e-9155-e374416ebc8c</errorID>
      <errorWord>)</errorWord>
      <group>L1_Format</group>
      <groupName>格式问题</groupName>
      <ability>L2_HalfPunc_CN</ability>
      <abilityName/>
      <candidateList>
        <item>）</item>
      </candidateList>
      <explain>文本全半角错误。</explain>
      <paraID>10030BA5</paraID>
      <start>5</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3d7af8-7e07-451e-8bbb-1fa7eff46dd1}">
  <ds:schemaRefs/>
</ds:datastoreItem>
</file>

<file path=customXml/itemProps3.xml><?xml version="1.0" encoding="utf-8"?>
<ds:datastoreItem xmlns:ds="http://schemas.openxmlformats.org/officeDocument/2006/customXml" ds:itemID="{70BA09FC-AE21-4B73-8DF3-49979F3414A5}">
  <ds:schemaRefs/>
</ds:datastoreItem>
</file>

<file path=docProps/app.xml><?xml version="1.0" encoding="utf-8"?>
<Properties xmlns="http://schemas.openxmlformats.org/officeDocument/2006/extended-properties" xmlns:vt="http://schemas.openxmlformats.org/officeDocument/2006/docPropsVTypes">
  <Template>Normal</Template>
  <Pages>73</Pages>
  <Words>6792</Words>
  <Characters>7303</Characters>
  <Lines>205</Lines>
  <Paragraphs>57</Paragraphs>
  <TotalTime>17</TotalTime>
  <ScaleCrop>false</ScaleCrop>
  <LinksUpToDate>false</LinksUpToDate>
  <CharactersWithSpaces>7379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2023-11-30T01:07:00Z</dcterms:created>
  <dc:creator>dell</dc:creator>
  <cp:lastModifiedBy>DEATH</cp:lastModifiedBy>
  <cp:lastPrinted>2026-05-11T06:52:00Z</cp:lastPrinted>
  <dcterms:modified xsi:type="dcterms:W3CDTF">2026-06-11T07:11:45Z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eyJoZGlkIjoiNmYyMGQ3OWM3M2ZiYmYyZThjMTNkYzBkYmY2NTA4ZTMiLCJ1c2VySWQiOiI1MjgzNDY3MDQifQ==</vt:lpwstr>
  </property>
  <property fmtid="{D5CDD505-2E9C-101B-9397-08002B2CF9AE}" pid="3" name="KSOProductBuildVer">
    <vt:lpwstr>2052-12.1.0.26375</vt:lpwstr>
  </property>
  <property fmtid="{D5CDD505-2E9C-101B-9397-08002B2CF9AE}" pid="4" name="ICV">
    <vt:lpwstr>B9F2DA789E1143C0BCC8CA717A2EC39C_13</vt:lpwstr>
  </property>
</Properties>
</file>